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people.xml" ContentType="application/vnd.openxmlformats-officedocument.wordprocessingml.people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comments.xml" ContentType="application/vnd.openxmlformats-officedocument.wordprocessingml.comments+xml"/>
  <Override PartName="/word/endnotes.xml" ContentType="application/vnd.openxmlformats-officedocument.wordprocessingml.endnotes+xml"/>
  <Override PartName="/word/glossary/webSettings.xml" ContentType="application/vnd.openxmlformats-officedocument.wordprocessingml.webSettings+xml"/>
  <Override PartName="/word/glossary/settings.xml" ContentType="application/vnd.openxmlformats-officedocument.wordprocessingml.settings+xml"/>
  <Override PartName="/word/glossary/fontTable.xml" ContentType="application/vnd.openxmlformats-officedocument.wordprocessingml.fontTable+xml"/>
  <Override PartName="/word/settings.xml" ContentType="application/vnd.openxmlformats-officedocument.wordprocessingml.settings+xml"/>
  <Override PartName="/word/footnotes.xml" ContentType="application/vnd.openxmlformats-officedocument.wordprocessingml.footnotes+xml"/>
  <Override PartName="/docProps/app.xml" ContentType="application/vnd.openxmlformats-officedocument.extended-properties+xml"/>
  <Override PartName="/word/glossary/styles.xml" ContentType="application/vnd.openxmlformats-officedocument.wordprocessingml.styles+xml"/>
  <Override PartName="/word/glossary/footnotes.xml" ContentType="application/vnd.openxmlformats-officedocument.wordprocessingml.footnotes+xml"/>
  <Override PartName="/word/glossary/endnotes.xml" ContentType="application/vnd.openxmlformats-officedocument.wordprocessingml.endnotes+xml"/>
  <Override PartName="/word/glossary/document.xml" ContentType="application/vnd.openxmlformats-officedocument.wordprocessingml.document.glossary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857"/>
      </w:pPr>
      <w:r/>
      <w:r/>
    </w:p>
    <w:sdt>
      <w:sdtPr>
        <w15:appearance w15:val="boundingBox"/>
        <w:placeholder>
          <w:docPart w:val="DefaultPlaceholder_TEXT"/>
        </w:placeholder>
        <w:docPartObj>
          <w:docPartGallery w:val="Table of Contents"/>
          <w:docPartUnique w:val="true"/>
        </w:docPartObj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sdtPr>
      <w:sdtContent>
        <w:p>
          <w:pPr>
            <w:pStyle w:val="858"/>
            <w:tabs>
              <w:tab w:val="right" w:pos="9355" w:leader="dot"/>
            </w:tabs>
          </w:pPr>
          <w:r>
            <w:rPr>
              <w:rFonts w:asciiTheme="majorHAnsi" w:hAnsiTheme="majorHAnsi" w:eastAsiaTheme="majorEastAsia" w:cstheme="majorBidi"/>
              <w:color w:val="2f5696" w:themeColor="accent1" w:themeShade="BF"/>
              <w:sz w:val="32"/>
              <w:szCs w:val="32"/>
            </w:rPr>
          </w:r>
          <w:r>
            <w:fldChar w:fldCharType="begin"/>
            <w:instrText xml:space="preserve">TOC \o "1-9" \h </w:instrText>
            <w:fldChar w:fldCharType="separate"/>
          </w:r>
          <w:r>
            <w:rPr>
              <w:rFonts w:asciiTheme="majorHAnsi" w:hAnsiTheme="majorHAnsi" w:eastAsiaTheme="majorEastAsia" w:cstheme="majorBidi"/>
              <w:color w:val="2f5696" w:themeColor="accent1" w:themeShade="BF"/>
              <w:sz w:val="32"/>
              <w:szCs w:val="32"/>
            </w:rPr>
          </w:r>
          <w:hyperlink w:tooltip="#_Toc1" w:anchor="_Toc1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Личный кабинет партнера </w:t>
            </w:r>
            <w:r>
              <w:rPr>
                <w:rStyle w:val="848"/>
              </w:rPr>
              <w:t xml:space="preserve">программы лояльности АО «НСПК»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_Toc1 \h</w:instrText>
              <w:fldChar w:fldCharType="separate"/>
              <w:t xml:space="preserve">2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2" w:anchor="_Toc2" w:history="1">
            <w:r>
              <w:rPr>
                <w:rStyle w:val="848"/>
              </w:rPr>
            </w:r>
            <w:r>
              <w:rPr>
                <w:rStyle w:val="848"/>
                <w:highlight w:val="none"/>
              </w:rPr>
              <w:t xml:space="preserve">Лендинг</w:t>
            </w:r>
            <w:r>
              <w:rPr>
                <w:rStyle w:val="848"/>
                <w:highlight w:val="none"/>
              </w:rPr>
            </w:r>
            <w:r>
              <w:tab/>
            </w:r>
            <w:r>
              <w:fldChar w:fldCharType="begin"/>
              <w:instrText xml:space="preserve">PAGEREF _Toc2 \h</w:instrText>
              <w:fldChar w:fldCharType="separate"/>
              <w:t xml:space="preserve">2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3" w:anchor="_Toc3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Присоединение к программе лояльности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_Toc3 \h</w:instrText>
              <w:fldChar w:fldCharType="separate"/>
              <w:t xml:space="preserve">9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4" w:anchor="_Toc4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Заявка на расширение объема участия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_Toc4 \h</w:instrText>
              <w:fldChar w:fldCharType="separate"/>
              <w:t xml:space="preserve">14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5" w:anchor="_Toc5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Товарный знак/логотип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_Toc5 \h</w:instrText>
              <w:fldChar w:fldCharType="separate"/>
              <w:t xml:space="preserve">16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6" w:anchor="_Toc6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Гарантийное письмо.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_Toc6 \h</w:instrText>
              <w:fldChar w:fldCharType="separate"/>
              <w:t xml:space="preserve">19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7" w:anchor="_Toc7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Гарантийное письмо (товарный знак используется по договору)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_Toc7 \h</w:instrText>
              <w:fldChar w:fldCharType="separate"/>
              <w:t xml:space="preserve">20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</w:pPr>
          <w:r/>
          <w:hyperlink w:tooltip="#_Toc8" w:anchor="_Toc8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Просмотр статусов заявок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_Toc8 \h</w:instrText>
              <w:fldChar w:fldCharType="separate"/>
              <w:t xml:space="preserve">23</w:t>
              <w:fldChar w:fldCharType="end"/>
            </w:r>
          </w:hyperlink>
          <w:r/>
          <w:r/>
        </w:p>
        <w:p>
          <w:pPr>
            <w:pStyle w:val="858"/>
            <w:tabs>
              <w:tab w:val="right" w:pos="9355" w:leader="dot"/>
            </w:tabs>
          </w:pPr>
          <w:r/>
          <w:hyperlink w:tooltip="#_Toc9" w:anchor="_Toc9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Заявка на подключение доп. Бренда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_Toc9 \h</w:instrText>
              <w:fldChar w:fldCharType="separate"/>
              <w:t xml:space="preserve">26</w:t>
              <w:fldChar w:fldCharType="end"/>
            </w:r>
          </w:hyperlink>
          <w:r/>
          <w:r/>
        </w:p>
        <w:p>
          <w:pPr>
            <w:pStyle w:val="858"/>
            <w:tabs>
              <w:tab w:val="right" w:pos="9355" w:leader="dot"/>
            </w:tabs>
          </w:pPr>
          <w:r/>
          <w:hyperlink w:tooltip="#_Toc10" w:anchor="_Toc10" w:history="1">
            <w:r>
              <w:rPr>
                <w:rStyle w:val="848"/>
              </w:rPr>
            </w:r>
            <w:r>
              <w:rPr>
                <w:rStyle w:val="848"/>
              </w:rPr>
              <w:t xml:space="preserve">Заявка на подключение доп. </w:t>
            </w:r>
            <w:r>
              <w:rPr>
                <w:rStyle w:val="848"/>
              </w:rPr>
              <w:t xml:space="preserve">эквайрера</w:t>
            </w:r>
            <w:r>
              <w:rPr>
                <w:rStyle w:val="848"/>
              </w:rPr>
            </w:r>
            <w:r>
              <w:tab/>
            </w:r>
            <w:r>
              <w:fldChar w:fldCharType="begin"/>
              <w:instrText xml:space="preserve">PAGEREF _Toc10 \h</w:instrText>
              <w:fldChar w:fldCharType="separate"/>
              <w:t xml:space="preserve">31</w:t>
              <w:fldChar w:fldCharType="end"/>
            </w:r>
          </w:hyperlink>
          <w:r/>
          <w:r/>
        </w:p>
        <w:p>
          <w:pPr>
            <w:pStyle w:val="859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1" w:anchor="_Toc11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Запуск акции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_Toc11 \h</w:instrText>
              <w:fldChar w:fldCharType="separate"/>
              <w:t xml:space="preserve">34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2" w:anchor="_Toc12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Создать заявку на акцию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_Toc12 \h</w:instrText>
              <w:fldChar w:fldCharType="separate"/>
              <w:t xml:space="preserve">34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3" w:anchor="_Toc13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Рассчитать бизнес-кейс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_Toc13 \h</w:instrText>
              <w:fldChar w:fldCharType="separate"/>
              <w:t xml:space="preserve">37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4" w:anchor="_Toc14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Список бизнес-кейсов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_Toc14 \h</w:instrText>
              <w:fldChar w:fldCharType="separate"/>
              <w:t xml:space="preserve">40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5" w:anchor="_Toc15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Целевая аудитория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_Toc15 \h</w:instrText>
              <w:fldChar w:fldCharType="separate"/>
              <w:t xml:space="preserve">40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6" w:anchor="_Toc16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Список заявок на акцию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_Toc16 \h</w:instrText>
              <w:fldChar w:fldCharType="separate"/>
              <w:t xml:space="preserve">42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34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7" w:anchor="_Toc17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Все акции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_Toc17 \h</w:instrText>
              <w:fldChar w:fldCharType="separate"/>
              <w:t xml:space="preserve">44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59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8" w:anchor="_Toc18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Модерация акций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_Toc18 \h</w:instrText>
              <w:fldChar w:fldCharType="separate"/>
              <w:t xml:space="preserve">46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59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19" w:anchor="_Toc19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Отчеты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_Toc19 \h</w:instrText>
              <w:fldChar w:fldCharType="separate"/>
              <w:t xml:space="preserve">50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pStyle w:val="859"/>
            <w:tabs>
              <w:tab w:val="right" w:pos="9355" w:leader="dot"/>
            </w:tabs>
            <w:rPr>
              <w:rFonts w:asciiTheme="majorHAnsi" w:hAnsiTheme="majorHAnsi" w:eastAsiaTheme="majorEastAsia" w:cstheme="majorBidi"/>
            </w:rPr>
          </w:pPr>
          <w:r/>
          <w:hyperlink w:tooltip="#_Toc20" w:anchor="_Toc20" w:history="1">
            <w:r>
              <w:rPr>
                <w:rStyle w:val="848"/>
              </w:rPr>
            </w:r>
            <w:r>
              <w:rPr>
                <w:rStyle w:val="848"/>
                <w:rFonts w:asciiTheme="majorHAnsi" w:hAnsiTheme="majorHAnsi" w:eastAsiaTheme="majorEastAsia" w:cstheme="majorBidi"/>
              </w:rPr>
              <w:t xml:space="preserve">Частые вопросы</w:t>
            </w:r>
            <w:r>
              <w:rPr>
                <w:rStyle w:val="848"/>
                <w:rFonts w:asciiTheme="majorHAnsi" w:hAnsiTheme="majorHAnsi" w:eastAsiaTheme="majorEastAsia" w:cstheme="majorBidi"/>
              </w:rPr>
            </w:r>
            <w:r>
              <w:tab/>
            </w:r>
            <w:r>
              <w:fldChar w:fldCharType="begin"/>
              <w:instrText xml:space="preserve">PAGEREF _Toc20 \h</w:instrText>
              <w:fldChar w:fldCharType="separate"/>
              <w:t xml:space="preserve">53</w:t>
              <w:fldChar w:fldCharType="end"/>
            </w:r>
          </w:hyperlink>
          <w:r>
            <w:rPr>
              <w:rFonts w:asciiTheme="majorHAnsi" w:hAnsiTheme="majorHAnsi" w:eastAsiaTheme="majorEastAsia" w:cstheme="majorBidi"/>
            </w:rPr>
          </w:r>
          <w:r>
            <w:rPr>
              <w:rFonts w:asciiTheme="majorHAnsi" w:hAnsiTheme="majorHAnsi" w:eastAsiaTheme="majorEastAsia" w:cstheme="majorBidi"/>
            </w:rPr>
          </w:r>
        </w:p>
        <w:p>
          <w:pPr>
            <w:rPr>
              <w:rFonts w:asciiTheme="majorHAnsi" w:hAnsiTheme="majorHAnsi" w:eastAsiaTheme="majorEastAsia" w:cstheme="majorBidi"/>
              <w:color w:val="2f5696" w:themeColor="accent1" w:themeShade="BF"/>
              <w:sz w:val="32"/>
              <w:szCs w:val="32"/>
            </w:rPr>
          </w:pPr>
          <w:r>
            <w:fldChar w:fldCharType="end"/>
          </w:r>
          <w:r>
            <w:rPr>
              <w:rFonts w:asciiTheme="majorHAnsi" w:hAnsiTheme="majorHAnsi" w:eastAsiaTheme="majorEastAsia" w:cstheme="majorBidi"/>
              <w:color w:val="2f5696" w:themeColor="accent1" w:themeShade="BF"/>
              <w:sz w:val="32"/>
              <w:szCs w:val="32"/>
            </w:rPr>
          </w:r>
          <w:r>
            <w:rPr>
              <w:rFonts w:asciiTheme="majorHAnsi" w:hAnsiTheme="majorHAnsi" w:eastAsiaTheme="majorEastAsia" w:cstheme="majorBidi"/>
              <w:color w:val="2f5696" w:themeColor="accent1" w:themeShade="BF"/>
              <w:sz w:val="32"/>
              <w:szCs w:val="32"/>
            </w:rPr>
          </w:r>
        </w:p>
      </w:sdtContent>
    </w:sdt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br w:type="page" w:clear="all"/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pStyle w:val="843"/>
      </w:pPr>
      <w:r/>
      <w:bookmarkStart w:id="32" w:name="_Toc1"/>
      <w:r>
        <w:t xml:space="preserve">Личный кабинет партнера </w:t>
      </w:r>
      <w:r>
        <w:t xml:space="preserve">программы лояльности АО «НСПК»</w:t>
      </w:r>
      <w:bookmarkEnd w:id="32"/>
      <w:r/>
      <w:r/>
    </w:p>
    <w:p>
      <w:r>
        <w:t xml:space="preserve">Для того чтобы попасть в раздел Программы лояльности для партнеров юридических лиц, необходимо перейти по ссылке </w:t>
      </w:r>
      <w:hyperlink r:id="rId11" w:tooltip="https://vamprivet.ru/for-partners/" w:history="1">
        <w:r>
          <w:rPr>
            <w:rStyle w:val="848"/>
          </w:rPr>
          <w:t xml:space="preserve">https://vamprivet.ru/for-partners/</w:t>
        </w:r>
      </w:hyperlink>
      <w:r>
        <w:t xml:space="preserve"> или на главной странице сайта </w:t>
      </w:r>
      <w:r>
        <w:rPr>
          <w:lang w:val="en-US"/>
        </w:rPr>
        <w:t xml:space="preserve">vamprivet</w:t>
      </w:r>
      <w:r>
        <w:t xml:space="preserve">.</w:t>
      </w:r>
      <w:r>
        <w:rPr>
          <w:lang w:val="en-US"/>
        </w:rPr>
        <w:t xml:space="preserve">ru</w:t>
      </w:r>
      <w:r>
        <w:t xml:space="preserve"> </w:t>
      </w:r>
      <w:r>
        <w:t xml:space="preserve">перейти в раздел Юридическим лицам – Партнерам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073650" cy="78740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073650" cy="78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miter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399.50pt;height:62.00pt;mso-wrap-distance-left:0.00pt;mso-wrap-distance-top:0.00pt;mso-wrap-distance-right:0.00pt;mso-wrap-distance-bottom:0.00pt;" stroked="f">
                <v:path textboxrect="0,0,0,0"/>
                <v:imagedata r:id="rId12" o:title=""/>
              </v:shape>
            </w:pict>
          </mc:Fallback>
        </mc:AlternateContent>
      </w:r>
      <w:r/>
    </w:p>
    <w:p>
      <w:r/>
      <w:r/>
    </w:p>
    <w:p>
      <w:pPr>
        <w:pStyle w:val="844"/>
      </w:pPr>
      <w:r/>
      <w:bookmarkStart w:id="33" w:name="_Toc2"/>
      <w:r>
        <w:rPr>
          <w:highlight w:val="none"/>
        </w:rPr>
        <w:t xml:space="preserve">Лендинг</w:t>
      </w:r>
      <w:bookmarkEnd w:id="33"/>
      <w:r>
        <w:rPr>
          <w:highlight w:val="none"/>
        </w:rPr>
      </w:r>
      <w:r/>
    </w:p>
    <w:p>
      <w:pPr>
        <w:rPr>
          <w:highlight w:val="none"/>
        </w:rPr>
      </w:pPr>
      <w:r>
        <w:t xml:space="preserve">На </w:t>
      </w:r>
      <w:r>
        <w:t xml:space="preserve">лендинге</w:t>
      </w:r>
      <w:r>
        <w:t xml:space="preserve"> можно ознакомиться с основными преимуществами и условиями работы в Программе лояльности:</w:t>
      </w:r>
      <w:r>
        <w:rPr>
          <w:highlight w:val="none"/>
        </w:rPr>
      </w:r>
      <w:r>
        <w:rPr>
          <w:highlight w:val="none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00821" cy="1656080"/>
                <wp:effectExtent l="0" t="0" r="9525" b="127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4207734" cy="16588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30.77pt;height:130.40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39435" cy="2313305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4166124" cy="2328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325.94pt;height:182.15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/>
    </w:p>
    <w:p>
      <w:r>
        <w:t xml:space="preserve">Есть описание механик акций и успешных кейсов других партнеров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045579" cy="1952516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082912" cy="19705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318.55pt;height:153.74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/>
    </w:p>
    <w:p>
      <w:r>
        <w:t xml:space="preserve">Перейдя по ссылке «Посмотреть действующие акции» - можно перейти на сайт </w:t>
      </w:r>
      <w:r>
        <w:rPr>
          <w:lang w:val="en-US"/>
        </w:rPr>
        <w:t xml:space="preserve">vamprivet</w:t>
      </w:r>
      <w:r>
        <w:t xml:space="preserve">.</w:t>
      </w:r>
      <w:r>
        <w:rPr>
          <w:lang w:val="en-US"/>
        </w:rPr>
        <w:t xml:space="preserve">ru</w:t>
      </w:r>
      <w:r>
        <w:t xml:space="preserve"> </w:t>
      </w:r>
      <w:r>
        <w:t xml:space="preserve">в каталог акций.</w:t>
      </w:r>
      <w:r/>
    </w:p>
    <w:p>
      <w:r>
        <w:t xml:space="preserve">Также на сайте размещена информацию по механикам акций и примеры успешных кейсов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84865" cy="1379220"/>
                <wp:effectExtent l="0" t="0" r="6350" b="0"/>
                <wp:docPr id="5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825896" cy="13941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98.02pt;height:108.6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/>
    </w:p>
    <w:p>
      <w:r/>
      <w:commentRangeStart w:id="0"/>
      <w:commentRangeStart w:id="1"/>
      <w:r>
        <w:t xml:space="preserve">Также на главной странице сайта можно сделать примерный расчет результатов акции через «Калькулятор» </w:t>
      </w:r>
      <w:commentRangeEnd w:id="0"/>
      <w:commentRangeEnd w:id="1"/>
      <w:r>
        <w:commentReference w:id="0"/>
        <w:commentReference w:id="1"/>
      </w:r>
      <w:r>
        <w:t xml:space="preserve">(нажать на кнопку «Рассчитать стоимость</w:t>
      </w:r>
      <w:r>
        <w:t xml:space="preserve">»)*</w:t>
      </w:r>
      <w:r>
        <w:t xml:space="preserve"> и ознакомиться с процессом подачи заявки на акцию и возможностями личного кабинета.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29100" cy="4110206"/>
                <wp:effectExtent l="0" t="0" r="0" b="5080"/>
                <wp:docPr id="6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4244418" cy="41250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333.00pt;height:323.64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/>
    </w:p>
    <w:p>
      <w:r/>
      <w:r/>
    </w:p>
    <w:p>
      <w:r>
        <w:t xml:space="preserve">Также на сайте есть раздел с часто-задаваемыми вопросами: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6076315"/>
                <wp:effectExtent l="0" t="0" r="3175" b="635"/>
                <wp:docPr id="7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5" cy="6076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75pt;height:478.45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/>
    </w:p>
    <w:p>
      <w:pPr>
        <w:pStyle w:val="676"/>
        <w:rPr>
          <w:highlight w:val="none"/>
        </w:rPr>
      </w:pPr>
      <w:r>
        <w:rPr>
          <w:highlight w:val="none"/>
        </w:rPr>
        <w:t xml:space="preserve">Калькулятор</w:t>
      </w:r>
      <w:r>
        <w:rPr>
          <w:highlight w:val="none"/>
        </w:rPr>
      </w:r>
      <w:r>
        <w:rPr>
          <w:highlight w:val="none"/>
        </w:rPr>
      </w:r>
    </w:p>
    <w:p>
      <w:r>
        <w:t xml:space="preserve">Для расчета стоимости акции необходимо заполнить данные в появившейся форме: </w:t>
      </w:r>
      <w:r>
        <w:rPr>
          <w:highlight w:val="none"/>
        </w:rPr>
      </w:r>
      <w:r/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color w:val="000000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  <w:highlight w:val="none"/>
        </w:rPr>
        <w:t xml:space="preserve">Выбрать способ оплаты покупок по акции: через СБП или карта </w:t>
      </w:r>
      <w:r>
        <w:t xml:space="preserve">«</w:t>
      </w:r>
      <w:r>
        <w:rPr>
          <w:rFonts w:ascii="Calibri" w:hAnsi="Calibri" w:eastAsia="Calibri" w:cs="Calibri"/>
          <w:color w:val="000000"/>
          <w:sz w:val="22"/>
          <w:highlight w:val="none"/>
        </w:rPr>
        <w:t xml:space="preserve">Мир</w:t>
      </w:r>
      <w:r>
        <w:t xml:space="preserve">»</w:t>
      </w:r>
      <w:r>
        <w:rPr>
          <w:rFonts w:ascii="Calibri" w:hAnsi="Calibri" w:eastAsia="Calibri" w:cs="Calibri"/>
          <w:color w:val="000000"/>
          <w:sz w:val="22"/>
          <w:highlight w:val="none"/>
        </w:rPr>
        <w:t xml:space="preserve">.</w:t>
      </w:r>
      <w:r>
        <w:rPr>
          <w:rFonts w:ascii="Calibri" w:hAnsi="Calibri" w:eastAsia="Calibri" w:cs="Calibri"/>
          <w:color w:val="000000"/>
          <w:sz w:val="22"/>
          <w:szCs w:val="22"/>
        </w:rPr>
      </w:r>
      <w:r>
        <w:rPr>
          <w:rFonts w:ascii="Calibri" w:hAnsi="Calibri" w:eastAsia="Calibri" w:cs="Calibri"/>
          <w:color w:val="000000"/>
          <w:sz w:val="22"/>
          <w:szCs w:val="22"/>
        </w:rPr>
      </w:r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color w:val="000000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Вид деятельности — что продаёт или какие услуги предоставляет его бизнес</w:t>
      </w:r>
      <w:r>
        <w:rPr>
          <w:rFonts w:ascii="Calibri" w:hAnsi="Calibri" w:eastAsia="Calibri" w:cs="Calibri"/>
          <w:color w:val="000000"/>
          <w:sz w:val="22"/>
          <w:szCs w:val="22"/>
        </w:rPr>
      </w:r>
      <w:r>
        <w:rPr>
          <w:rFonts w:ascii="Calibri" w:hAnsi="Calibri" w:eastAsia="Calibri" w:cs="Calibri"/>
          <w:color w:val="000000"/>
          <w:sz w:val="22"/>
          <w:szCs w:val="22"/>
        </w:rPr>
      </w:r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color w:val="000000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  <w:highlight w:val="none"/>
        </w:rPr>
        <w:t xml:space="preserve">Выбрать механику акции и сумму кешбэка</w:t>
      </w:r>
      <w:r>
        <w:rPr>
          <w:rFonts w:ascii="Calibri" w:hAnsi="Calibri" w:eastAsia="Calibri" w:cs="Calibri"/>
          <w:color w:val="000000"/>
          <w:sz w:val="22"/>
          <w:szCs w:val="22"/>
        </w:rPr>
      </w:r>
      <w:r>
        <w:rPr>
          <w:rFonts w:ascii="Calibri" w:hAnsi="Calibri" w:eastAsia="Calibri" w:cs="Calibri"/>
          <w:color w:val="000000"/>
          <w:sz w:val="22"/>
          <w:szCs w:val="22"/>
        </w:rPr>
      </w:r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color w:val="000000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  <w:highlight w:val="none"/>
        </w:rPr>
        <w:t xml:space="preserve">География проведения акции</w:t>
      </w:r>
      <w:r>
        <w:rPr>
          <w:rFonts w:ascii="Calibri" w:hAnsi="Calibri" w:eastAsia="Calibri" w:cs="Calibri"/>
          <w:color w:val="000000"/>
          <w:sz w:val="22"/>
          <w:szCs w:val="22"/>
        </w:rPr>
      </w:r>
      <w:r>
        <w:rPr>
          <w:rFonts w:ascii="Calibri" w:hAnsi="Calibri" w:eastAsia="Calibri" w:cs="Calibri"/>
          <w:color w:val="000000"/>
          <w:sz w:val="22"/>
          <w:szCs w:val="22"/>
        </w:rPr>
      </w:r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color w:val="000000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</w:r>
      <w:r>
        <w:rPr>
          <w:rFonts w:ascii="Calibri" w:hAnsi="Calibri" w:eastAsia="Calibri" w:cs="Calibri"/>
          <w:color w:val="000000"/>
          <w:sz w:val="22"/>
        </w:rPr>
        <w:t xml:space="preserve">Оборот — сколько денег в месяц зарабатывает бизнес</w:t>
      </w:r>
      <w:r>
        <w:rPr>
          <w:rFonts w:ascii="Calibri" w:hAnsi="Calibri" w:eastAsia="Calibri" w:cs="Calibri"/>
          <w:color w:val="000000"/>
          <w:sz w:val="22"/>
          <w:szCs w:val="22"/>
        </w:rPr>
      </w:r>
      <w:r>
        <w:rPr>
          <w:rFonts w:ascii="Calibri" w:hAnsi="Calibri" w:eastAsia="Calibri" w:cs="Calibri"/>
          <w:color w:val="000000"/>
          <w:sz w:val="22"/>
          <w:szCs w:val="22"/>
        </w:rPr>
      </w:r>
    </w:p>
    <w:p>
      <w:pPr>
        <w:pStyle w:val="855"/>
        <w:numPr>
          <w:ilvl w:val="0"/>
          <w:numId w:val="10"/>
        </w:numPr>
        <w:ind w:right="0"/>
        <w:rPr>
          <w:rFonts w:ascii="Calibri" w:hAnsi="Calibri" w:eastAsia="Calibri" w:cs="Calibri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</w:r>
      <w:r>
        <w:rPr>
          <w:rFonts w:ascii="Calibri" w:hAnsi="Calibri" w:eastAsia="Calibri" w:cs="Calibri"/>
          <w:color w:val="000000"/>
          <w:sz w:val="22"/>
        </w:rPr>
        <w:t xml:space="preserve">Средний чек — средняя сумма одного чека (не одного клиента, а именно чека)</w:t>
      </w:r>
      <w:r>
        <w:rPr>
          <w:rFonts w:ascii="Calibri" w:hAnsi="Calibri" w:eastAsia="Calibri" w:cs="Calibri"/>
          <w:sz w:val="22"/>
          <w:szCs w:val="22"/>
        </w:rPr>
      </w:r>
      <w:r>
        <w:rPr>
          <w:rFonts w:ascii="Calibri" w:hAnsi="Calibri" w:eastAsia="Calibri" w:cs="Calibri"/>
          <w:sz w:val="22"/>
          <w:szCs w:val="22"/>
        </w:rPr>
      </w:r>
    </w:p>
    <w:p>
      <w:pPr>
        <w:rPr>
          <w:highlight w:val="none"/>
        </w:rPr>
      </w:pPr>
      <w:r>
        <w:rPr>
          <w:highlight w:val="none"/>
        </w:rPr>
      </w:r>
      <w:r>
        <w:t xml:space="preserve">и нажать </w:t>
      </w:r>
      <w:r>
        <w:rPr>
          <w:b/>
          <w:bCs/>
        </w:rPr>
        <w:t xml:space="preserve">«Рассчитать»</w:t>
      </w:r>
      <w:r>
        <w:t xml:space="preserve">.</w: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45465" cy="5235386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935235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 rot="0" flipH="0" flipV="0">
                          <a:off x="0" y="0"/>
                          <a:ext cx="5445464" cy="5235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28.78pt;height:412.24pt;mso-wrap-distance-left:0.00pt;mso-wrap-distance-top:0.00pt;mso-wrap-distance-right:0.00pt;mso-wrap-distance-bottom:0.00pt;rotation:0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t xml:space="preserve">Результаты будут продемонстрированы на экране, также их можно будет скачать в файле </w:t>
      </w:r>
      <w:r>
        <w:rPr>
          <w:lang w:val="en-US"/>
        </w:rPr>
        <w:t xml:space="preserve">excel</w:t>
      </w:r>
      <w:r>
        <w:t xml:space="preserve"> и перейти к заполнению анкеты, нажав на кнопку «Стать партнером».</w:t>
      </w:r>
      <w:r>
        <w:rPr>
          <w:highlight w:val="none"/>
        </w:rPr>
      </w:r>
      <w:r>
        <w:rPr>
          <w:highlight w:val="none"/>
        </w:rPr>
      </w:r>
    </w:p>
    <w:p>
      <w:pPr>
        <w:pStyle w:val="676"/>
        <w:rPr>
          <w:b/>
          <w:bCs/>
        </w:rPr>
      </w:pPr>
      <w:r>
        <w:rPr>
          <w:rFonts w:ascii="Calibri" w:hAnsi="Calibri" w:eastAsia="Calibri" w:cs="Calibri"/>
          <w:b/>
          <w:bCs/>
          <w:color w:val="000000"/>
          <w:sz w:val="22"/>
        </w:rPr>
        <w:t xml:space="preserve"> Механика работы калькулятора.</w:t>
      </w:r>
      <w:r>
        <w:rPr>
          <w:b/>
          <w:bCs/>
        </w:rPr>
      </w:r>
      <w:r>
        <w:rPr>
          <w:b/>
          <w:bCs/>
        </w:rPr>
      </w:r>
    </w:p>
    <w:p>
      <w:pPr>
        <w:pStyle w:val="676"/>
      </w:pPr>
      <w:r>
        <w:rPr>
          <w:rFonts w:ascii="Calibri" w:hAnsi="Calibri" w:eastAsia="Calibri" w:cs="Calibri"/>
          <w:color w:val="000000"/>
          <w:sz w:val="22"/>
        </w:rPr>
        <w:t xml:space="preserve">Что мы делаем с этими данными дальше?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После того как партнёр вводит данные, мы ищем другие предприятия, которые максимально похожи на его по виду деятельности, обороту и среднему чеку. Например, если у партнёра оборот 10 миллионов рублей в месяц, средний чек 2000 рублей, то мы ищем другие комп</w:t>
      </w:r>
      <w:r>
        <w:rPr>
          <w:rFonts w:ascii="Calibri" w:hAnsi="Calibri" w:eastAsia="Calibri" w:cs="Calibri"/>
          <w:color w:val="000000"/>
          <w:sz w:val="22"/>
        </w:rPr>
        <w:t xml:space="preserve">ании с похожими цифрами в его сфере.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</w:rPr>
        <w:t xml:space="preserve">Что мы видим в найденных предприятиях?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Когда система находит похожие предприятия, она анализирует, как у них проходят покупки. Мы видим: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</w:rPr>
        <w:t xml:space="preserve">Сколько клиентов делают покупки — то есть сколько людей вообще покупают у этих предприятий.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Как часто они покупают — сколько покупок в месяц делают клиенты и как это поведение меняется в зависимости от суммы чека.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На какие суммы они покупают — то есть сколько денег тратят эти клиенты за раз. Например, одни покупают на 500 рублей, другие — на 5000 рублей, и так далее.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Эти данные помогают понять, как работают другие предприятия с похожими условиями. Мы усредняем эти данные, чтобы сделать предположения о том, как работает бизнес партнёра.</w:t>
      </w:r>
      <w:r/>
    </w:p>
    <w:p>
      <w:pPr>
        <w:ind w:left="0" w:right="0" w:firstLine="0"/>
        <w:rPr>
          <w:b/>
          <w:bCs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b/>
          <w:bCs/>
          <w:color w:val="000000"/>
          <w:sz w:val="22"/>
        </w:rPr>
        <w:t xml:space="preserve">Что происходит, если партнёр запускает акцию?</w:t>
      </w:r>
      <w:r>
        <w:rPr>
          <w:b/>
          <w:bCs/>
        </w:rPr>
      </w:r>
      <w:r>
        <w:rPr>
          <w:b/>
          <w:bCs/>
        </w:rPr>
      </w:r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Когда партнёр решает провести акцию мы имеем представление о том, как она может повлиять на покупки и как будет меняться поведение покупателей, в зависимости от выбранной механики и платёжной системы. Например: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- Кэшбэк может привести к тому, что люди будут чаще покупать, но сумма чека может стать меньше.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- Или наоборот, акция может увеличить сумму чека, но снизить частоту покупок.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- Или появятся новые покупатели.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</w:r>
      <w:r>
        <w:rPr>
          <w:rFonts w:ascii="Calibri" w:hAnsi="Calibri" w:eastAsia="Calibri" w:cs="Calibri"/>
          <w:color w:val="000000"/>
          <w:sz w:val="22"/>
        </w:rPr>
        <w:t xml:space="preserve">Пример: Партнёр вводит, что у него заведение общественного питания с оборотом в 3 000 000 рублей в месяц и средним чеком в 2 000 рублей</w:t>
      </w:r>
      <w:r>
        <w:t xml:space="preserve">.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Мы находим n-e количество предприятий (допустим 100) похожих и по обороту и по среднему чеку на нашего партнёра.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Мы усредняем данные по всем похожим предприятиям и делаем предположение о том, сколько человек, как часто и на какие суммы делают покупки у него.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После того, как мы получили представление о бизнесе нашего партнёра, мы можем сделать усреднённый прогноз эффекта от акции: предположить, как изменится оборот, сколько участников и на какие суммы совершат покупки.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</w:rPr>
        <w:t xml:space="preserve">Под участниками мы понимаем покупателей, которые примут участие в акции и получат кэшбэк</w:t>
      </w:r>
      <w:r>
        <w:t xml:space="preserve">.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</w:rPr>
        <w:t xml:space="preserve">Прогноз по общему обороту всех участников акции - это оборот всех участников (на какую сумму какую сумму денег они оставят в Вашем предприятии)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</w:rPr>
        <w:t xml:space="preserve">Прогноз по увеличению оборота - это прирост оборота, который ожидаем от запуска акции, мы сравниваем сумму оборота, которую мы бы ожидали без акции с суммой, которую мы ожидаем, если акция будет запущена (например: если мы ожидаем, что если партнёр подключ</w:t>
      </w:r>
      <w:r>
        <w:rPr>
          <w:rFonts w:ascii="Calibri" w:hAnsi="Calibri" w:eastAsia="Calibri" w:cs="Calibri"/>
          <w:color w:val="000000"/>
          <w:sz w:val="22"/>
        </w:rPr>
        <w:t xml:space="preserve">ит СБП и не будет запускать акцию, то оборот по СБП составит 300 000 рублей, а с запуском акции 600 000, из них 300 000 это те, кто и так бы купил по СБП, ещё 200 000 - это люди предпочитающие другой способ оплаты, но из-за акции поменявшие его на СБП и ещ</w:t>
      </w:r>
      <w:r>
        <w:rPr>
          <w:rFonts w:ascii="Calibri" w:hAnsi="Calibri" w:eastAsia="Calibri" w:cs="Calibri"/>
          <w:color w:val="000000"/>
          <w:sz w:val="22"/>
        </w:rPr>
        <w:t xml:space="preserve">ё 100 000 - это прирост за счёт новых покупателей и/или увеличения среднего чека старых покупателей)</w:t>
      </w:r>
      <w:r>
        <w:rPr>
          <w:rFonts w:ascii="Calibri" w:hAnsi="Calibri" w:eastAsia="Calibri" w:cs="Calibri"/>
          <w:sz w:val="22"/>
        </w:rPr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А сумма кэшбэка - это сумма, которую получат покупатели за то, что приняли участие в акции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Она рассчитывается, как Прогноз по общему обороту всех участников акции, умноженный на процент кэшбэка (Например, при обороте участников акции в 1 000 000 рублей и размере кэшбэка 8%, сумма кэшбэка составит 80 000 рублей)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Мы учимся. Расчёт не стоит на месте и он изменяется со временем. Мы анализируем поведение покупателей на основе данных из прошлого, это позволяет делать прогнозы, учитывая изменения на рынке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 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Это как если бы вы консультировались с опытным аналитиком, который знал бы поведение тысяч других похожих предприятий и мог бы подсказать, как лучше провести акцию или изменить свою стратегию. Но за более точными прогнозами Вы можете обратиться к нашим мен</w:t>
      </w:r>
      <w:r>
        <w:rPr>
          <w:rFonts w:ascii="Calibri" w:hAnsi="Calibri" w:eastAsia="Calibri" w:cs="Calibri"/>
          <w:color w:val="000000"/>
          <w:sz w:val="22"/>
        </w:rPr>
        <w:t xml:space="preserve">еджерам.</w:t>
      </w:r>
      <w:r/>
    </w:p>
    <w:p>
      <w:pPr>
        <w:pStyle w:val="676"/>
        <w:rPr>
          <w:highlight w:val="none"/>
          <w14:ligatures w14:val="none"/>
        </w:rPr>
      </w:pPr>
      <w:r>
        <w:rPr>
          <w:highlight w:val="none"/>
        </w:rPr>
      </w:r>
      <w:commentRangeStart w:id="2"/>
      <w:commentRangeStart w:id="3"/>
      <w:r>
        <w:rPr>
          <w:highlight w:val="none"/>
        </w:rPr>
      </w:r>
      <w:commentRangeEnd w:id="2"/>
      <w:commentRangeEnd w:id="3"/>
      <w:r>
        <w:commentReference w:id="2"/>
        <w:commentReference w:id="3"/>
      </w:r>
      <w:r>
        <w:rPr>
          <w:highlight w:val="none"/>
        </w:rPr>
        <w:t xml:space="preserve">Как стать партнером</w:t>
      </w:r>
      <w:r>
        <w:rPr>
          <w:highlight w:val="none"/>
          <w14:ligatures w14:val="none"/>
        </w:rPr>
      </w:r>
      <w:r>
        <w:rPr>
          <w:highlight w:val="none"/>
          <w14:ligatures w14:val="none"/>
        </w:rPr>
      </w:r>
    </w:p>
    <w:p>
      <w:r>
        <w:t xml:space="preserve">Для того, чтобы стать партнером Программы лояльности, необходимо сначала заполнить анкету на сайте. Для этого на главной странице нажать «Стать партнером»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64586" cy="2278380"/>
                <wp:effectExtent l="0" t="0" r="0" b="7620"/>
                <wp:docPr id="9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168747" cy="22802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06.66pt;height:179.40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/>
    </w:p>
    <w:p>
      <w:r>
        <w:t xml:space="preserve">В анкете необходимо указать:</w:t>
      </w:r>
      <w:r/>
    </w:p>
    <w:p>
      <w:pPr>
        <w:pStyle w:val="855"/>
        <w:numPr>
          <w:ilvl w:val="0"/>
          <w:numId w:val="2"/>
        </w:numPr>
      </w:pPr>
      <w:r>
        <w:t xml:space="preserve">Наименование бренда</w:t>
      </w:r>
      <w:r/>
    </w:p>
    <w:p>
      <w:pPr>
        <w:pStyle w:val="855"/>
        <w:numPr>
          <w:ilvl w:val="0"/>
          <w:numId w:val="2"/>
        </w:numPr>
      </w:pPr>
      <w:r>
        <w:t xml:space="preserve">ИНН</w:t>
      </w:r>
      <w:r/>
    </w:p>
    <w:p>
      <w:pPr>
        <w:pStyle w:val="855"/>
        <w:numPr>
          <w:ilvl w:val="0"/>
          <w:numId w:val="2"/>
        </w:numPr>
      </w:pPr>
      <w:r>
        <w:t xml:space="preserve">Наименование юридического лица</w:t>
      </w:r>
      <w:r/>
    </w:p>
    <w:p>
      <w:pPr>
        <w:pStyle w:val="855"/>
        <w:numPr>
          <w:ilvl w:val="0"/>
          <w:numId w:val="2"/>
        </w:numPr>
      </w:pPr>
      <w:r>
        <w:t xml:space="preserve">Выбрать тип планируемых акций. Это может быть только акции по картам «Мир» или только акции по СБП, или можно выбрать оба типа акций</w:t>
      </w:r>
      <w:r/>
    </w:p>
    <w:p>
      <w:pPr>
        <w:pStyle w:val="855"/>
        <w:numPr>
          <w:ilvl w:val="0"/>
          <w:numId w:val="2"/>
        </w:numPr>
      </w:pPr>
      <w:r>
        <w:t xml:space="preserve">Для каждого типа акций указать соответствующие банки-</w:t>
      </w:r>
      <w:r>
        <w:t xml:space="preserve">эквайреры</w:t>
      </w:r>
      <w:r>
        <w:t xml:space="preserve">, по которым проходит оплата у вашего ЮЛ</w:t>
      </w:r>
      <w:r/>
    </w:p>
    <w:p>
      <w:pPr>
        <w:pStyle w:val="855"/>
        <w:numPr>
          <w:ilvl w:val="0"/>
          <w:numId w:val="2"/>
        </w:numPr>
      </w:pPr>
      <w:r>
        <w:t xml:space="preserve">Адрес сайта</w:t>
      </w:r>
      <w:r/>
    </w:p>
    <w:p>
      <w:pPr>
        <w:pStyle w:val="855"/>
        <w:numPr>
          <w:ilvl w:val="0"/>
          <w:numId w:val="2"/>
        </w:numPr>
      </w:pPr>
      <w:r>
        <w:t xml:space="preserve">Вид деятельности – выбрать наиболее подходящий</w:t>
      </w:r>
      <w:r/>
    </w:p>
    <w:p>
      <w:pPr>
        <w:pStyle w:val="855"/>
        <w:numPr>
          <w:ilvl w:val="0"/>
          <w:numId w:val="2"/>
        </w:numPr>
      </w:pPr>
      <w:r>
        <w:t xml:space="preserve">География проведения акции – выбрать те регионы, в которых предост</w:t>
      </w:r>
      <w:r>
        <w:t xml:space="preserve">а</w:t>
      </w:r>
      <w:r>
        <w:t xml:space="preserve">вляете услуги</w:t>
      </w:r>
      <w:r>
        <w:t xml:space="preserve">/реализуете товары</w:t>
      </w:r>
      <w:r/>
    </w:p>
    <w:p>
      <w:pPr>
        <w:pStyle w:val="855"/>
        <w:numPr>
          <w:ilvl w:val="0"/>
          <w:numId w:val="2"/>
        </w:numPr>
      </w:pPr>
      <w:r>
        <w:t xml:space="preserve">Типы торговых точек – указать, работаете ли вы онлайн или есть только наземные точки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81625" cy="7562850"/>
                <wp:effectExtent l="0" t="0" r="9525" b="0"/>
                <wp:docPr id="10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381625" cy="75628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23.75pt;height:595.5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/>
    </w:p>
    <w:p>
      <w:r>
        <w:t xml:space="preserve">Нажать «Продолжить»</w:t>
      </w:r>
      <w:r/>
    </w:p>
    <w:p>
      <w:r/>
      <w:commentRangeStart w:id="4"/>
      <w:commentRangeStart w:id="5"/>
      <w:r>
        <w:t xml:space="preserve">Далее запо</w:t>
      </w:r>
      <w:r>
        <w:t xml:space="preserve">лнить контактные данные лица, который будет работать в личном кабинете, поставить галочки напротив согласования с Политикой обработки и защиты персональных данных в АО «НСПК» и подтвердить ознакомление с Правилами и Тарифами программы лояльности АО «НСПК».</w:t>
      </w:r>
      <w:commentRangeEnd w:id="4"/>
      <w:commentRangeEnd w:id="5"/>
      <w:r>
        <w:commentReference w:id="4"/>
        <w:commentReference w:id="5"/>
      </w:r>
      <w:r>
        <w:rPr>
          <w:rStyle w:val="861"/>
        </w:rPr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897830" cy="2445779"/>
                <wp:effectExtent l="0" t="0" r="7620" b="0"/>
                <wp:docPr id="11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3917758" cy="24582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306.92pt;height:192.58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/>
    </w:p>
    <w:p>
      <w:r>
        <w:t xml:space="preserve">Нажать «продолжить» и для вас будет создан личный кабинет партнера!</w:t>
      </w:r>
      <w:r/>
    </w:p>
    <w:p>
      <w:r>
        <w:t xml:space="preserve">В личном кабинете </w:t>
      </w:r>
      <w:r>
        <w:t xml:space="preserve">можно оформлять заявки на подключение, запуск акции, выгружать отчеты в соответствующих пунктах меню, также в </w:t>
      </w:r>
      <w:r>
        <w:t xml:space="preserve">сторисах</w:t>
      </w:r>
      <w:r>
        <w:t xml:space="preserve"> есть полезная информация об участии в программе лояльности, в блоке «Уведомления» можно просматривать информацию об изменениях с заявками.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86109" cy="4812665"/>
                <wp:effectExtent l="0" t="0" r="5080" b="6985"/>
                <wp:docPr id="12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389113" cy="48153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24.10pt;height:378.95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/>
    </w:p>
    <w:p>
      <w:r/>
      <w:r/>
    </w:p>
    <w:p>
      <w:r/>
      <w:bookmarkStart w:id="7" w:name="_Hlk178610013"/>
      <w:r>
        <w:t xml:space="preserve">В меню «За</w:t>
      </w:r>
      <w:r>
        <w:t xml:space="preserve">явки</w:t>
      </w:r>
      <w:r>
        <w:t xml:space="preserve"> на подключение» </w:t>
      </w:r>
      <w:r/>
    </w:p>
    <w:p>
      <w:r>
        <w:rPr>
          <w:highlight w:val="none"/>
        </w:rPr>
      </w:r>
      <w:r>
        <w:rPr>
          <w:highlight w:val="none"/>
        </w:rPr>
      </w:r>
      <w:r/>
    </w:p>
    <w:p>
      <w:pPr>
        <w:rPr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073482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901929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0424" cy="20734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7.75pt;height:163.27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r>
        <w:t xml:space="preserve">Можно подать заявку на присоединение к Программе лояльности АО «НСПК», Подать заявку на расширение объема участия (например, подключиться к Программе лояльности по СБП, если ранее были подключ</w:t>
      </w:r>
      <w:r>
        <w:t xml:space="preserve">ены только по картам «Мир» и наоборот), подать заявку на предоставление разрешения на использование товарного знака или логотипа, заявку на подключение нового бренда (сейчас только для акций по картам «Мир») или заявку на подключение дополнительного банка-</w:t>
      </w:r>
      <w:r>
        <w:t xml:space="preserve">эквайрера</w:t>
      </w:r>
      <w:r>
        <w:t xml:space="preserve">, а также просмотреть список всех оформленных заявок.</w:t>
      </w:r>
      <w:r/>
    </w:p>
    <w:p>
      <w:pPr>
        <w:pStyle w:val="844"/>
      </w:pPr>
      <w:r/>
      <w:bookmarkStart w:id="34" w:name="_Toc3"/>
      <w:r>
        <w:t xml:space="preserve">Присоединение к программе лояльности</w:t>
      </w:r>
      <w:bookmarkEnd w:id="34"/>
      <w:r/>
      <w:r/>
    </w:p>
    <w:p>
      <w:r>
        <w:t xml:space="preserve">В заявке на присоединение к программе лояльности на Шаге 1 необходимо заполнить разделы:</w:t>
      </w:r>
      <w:r/>
    </w:p>
    <w:p>
      <w:r>
        <w:t xml:space="preserve">Реквизиты юридического лица </w:t>
      </w:r>
      <w:r/>
    </w:p>
    <w:p>
      <w:r>
        <w:t xml:space="preserve">Общая информация</w:t>
      </w:r>
      <w:r/>
    </w:p>
    <w:p>
      <w:r>
        <w:t xml:space="preserve">Контактная информация</w:t>
      </w:r>
      <w:r/>
    </w:p>
    <w:p>
      <w:r>
        <w:t xml:space="preserve">Тип акций для запуска</w:t>
      </w:r>
      <w:r/>
    </w:p>
    <w:p>
      <w:r>
        <w:t xml:space="preserve">Информация о бренде</w:t>
      </w:r>
      <w:r>
        <w:t xml:space="preserve"> – в данном разделе указывается бренд организации, под которым будут запускаться акции</w:t>
      </w:r>
      <w:r/>
    </w:p>
    <w:p>
      <w:r>
        <w:t xml:space="preserve">Выбор организации управляющей акциями</w:t>
      </w:r>
      <w:r>
        <w:t xml:space="preserve"> – в данном поле необходимо указать данные юридического лица, которое будет управлять акциями в рамках Программы лояльности (согласовывать в личном кабинете)</w:t>
      </w:r>
      <w:r/>
    </w:p>
    <w:p>
      <w:r>
        <w:t xml:space="preserve">После ввода ИНН, если ранее по этому </w:t>
      </w:r>
      <w:r>
        <w:t xml:space="preserve">юридическому лицу</w:t>
      </w:r>
      <w:r>
        <w:t xml:space="preserve"> была заполнена Анкета, часть данных из Анкеты автоматически заполняются в заявку.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988125" cy="4366260"/>
                <wp:effectExtent l="0" t="0" r="0" b="0"/>
                <wp:docPr id="14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4013832" cy="4394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314.03pt;height:343.80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441916" cy="4419600"/>
                <wp:effectExtent l="0" t="0" r="0" b="0"/>
                <wp:docPr id="15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4472324" cy="44498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349.76pt;height:348.00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/>
    </w:p>
    <w:p>
      <w:r>
        <w:t xml:space="preserve">В разделе тип акций для запуска можно выбрать как оба варианта: Мир +</w:t>
      </w:r>
      <w:r>
        <w:t xml:space="preserve"> </w:t>
      </w:r>
      <w:r>
        <w:t xml:space="preserve">СБП, так и только 1.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848625" cy="3581400"/>
                <wp:effectExtent l="0" t="0" r="9525" b="0"/>
                <wp:docPr id="16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4857644" cy="35880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381.78pt;height:282.00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/>
    </w:p>
    <w:p>
      <w:r>
        <w:t xml:space="preserve">Далее сформировать заявление, распечатать и подписать. Скан сохранить. При этом, при клике на кнопку «Сформировать заявление» заявка автоматически сохраняется в </w:t>
      </w:r>
      <w:commentRangeStart w:id="6"/>
      <w:commentRangeStart w:id="7"/>
      <w:r>
        <w:t xml:space="preserve">статусе «Черновик».</w:t>
      </w:r>
      <w:commentRangeEnd w:id="6"/>
      <w:commentRangeEnd w:id="7"/>
      <w:r>
        <w:commentReference w:id="6"/>
        <w:commentReference w:id="7"/>
      </w:r>
      <w:r>
        <w:rPr>
          <w:rStyle w:val="861"/>
        </w:rPr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87850" cy="1756078"/>
                <wp:effectExtent l="0" t="0" r="0" b="0"/>
                <wp:docPr id="17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4414145" cy="1766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345.50pt;height:138.27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/>
    </w:p>
    <w:p>
      <w:r>
        <w:t xml:space="preserve">На Шаге 2 заполнить раздел с контактными лицами</w:t>
      </w:r>
      <w:r>
        <w:t xml:space="preserve">. </w:t>
      </w:r>
      <w:r>
        <w:t xml:space="preserve">Обязательн</w:t>
      </w:r>
      <w:r>
        <w:t xml:space="preserve">о при заполнении нажимать карандашик напротив соответствующего раздела. Кнопкой «Добавить контактное лицо» можно воспользоваться, если нужно добавить более 2-х лиц. Если вводить контакты только через кнопку «Добавить контактное лицо», заявка не сохранится.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72000" cy="3094103"/>
                <wp:effectExtent l="0" t="0" r="0" b="0"/>
                <wp:docPr id="18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4581095" cy="310025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360.00pt;height:243.63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/>
    </w:p>
    <w:p>
      <w:r>
        <w:t xml:space="preserve">Нажать «Сохранить изменения» - тогда заявка сохранится в черновике или нажать «продолжить» и перейти на следующую страницу (при этом заявка также сохранится в черновике).</w:t>
      </w:r>
      <w:r/>
    </w:p>
    <w:p>
      <w:r>
        <w:t xml:space="preserve">На Шаге 3 в зависимости от указанного на </w:t>
      </w:r>
      <w:r>
        <w:t xml:space="preserve">Ш</w:t>
      </w:r>
      <w:r>
        <w:t xml:space="preserve">аге 1 типа акции необходимо заполнить банки -</w:t>
      </w:r>
      <w:r>
        <w:t xml:space="preserve">эквайреры</w:t>
      </w:r>
      <w:r>
        <w:t xml:space="preserve">. При этом в качестве Банка по СБП будут доступны только те банки, с кем </w:t>
      </w:r>
      <w:r>
        <w:t xml:space="preserve">юридическое лицо</w:t>
      </w:r>
      <w:r>
        <w:t xml:space="preserve"> работает по СБП, и кто является участником </w:t>
      </w:r>
      <w:r>
        <w:t xml:space="preserve">программы лояльности</w:t>
      </w:r>
      <w:r>
        <w:t xml:space="preserve">.  Если партнер уже ранее был подключен к ПЛ с СБП с одним из своих </w:t>
      </w:r>
      <w:r>
        <w:t xml:space="preserve">эквайреров</w:t>
      </w:r>
      <w:r>
        <w:t xml:space="preserve">, то под этим банком будет соответствующее уведомление), Банк по картам Мир </w:t>
      </w:r>
      <w:r>
        <w:t xml:space="preserve">необходимо</w:t>
      </w:r>
      <w:r>
        <w:t xml:space="preserve"> выб</w:t>
      </w:r>
      <w:r>
        <w:t xml:space="preserve">рать</w:t>
      </w:r>
      <w:r>
        <w:t xml:space="preserve"> из списка участников </w:t>
      </w:r>
      <w:r>
        <w:t xml:space="preserve">программы лояльности</w:t>
      </w:r>
      <w:r>
        <w:t xml:space="preserve">. Необходимо поставить галочки, иначе невозможно будет нажать кнопк</w:t>
      </w:r>
      <w:r>
        <w:t xml:space="preserve">у «П</w:t>
      </w:r>
      <w:r>
        <w:t xml:space="preserve">родолжить</w:t>
      </w:r>
      <w:r>
        <w:t xml:space="preserve">»</w:t>
      </w:r>
      <w:r>
        <w:t xml:space="preserve">.</w:t>
      </w:r>
      <w:r/>
    </w:p>
    <w:p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93345</wp:posOffset>
                </wp:positionH>
                <wp:positionV relativeFrom="paragraph">
                  <wp:posOffset>15240</wp:posOffset>
                </wp:positionV>
                <wp:extent cx="4597400" cy="2903855"/>
                <wp:effectExtent l="0" t="0" r="0" b="0"/>
                <wp:wrapTight wrapText="bothSides">
                  <wp:wrapPolygon edited="1">
                    <wp:start x="0" y="0"/>
                    <wp:lineTo x="0" y="21397"/>
                    <wp:lineTo x="21481" y="21397"/>
                    <wp:lineTo x="21481" y="0"/>
                    <wp:lineTo x="0" y="0"/>
                  </wp:wrapPolygon>
                </wp:wrapTight>
                <wp:docPr id="19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4597400" cy="29038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position:absolute;z-index:-251658240;o:allowoverlap:true;o:allowincell:true;mso-position-horizontal-relative:text;margin-left:7.35pt;mso-position-horizontal:absolute;mso-position-vertical-relative:text;margin-top:1.20pt;mso-position-vertical:absolute;width:362.00pt;height:228.65pt;mso-wrap-distance-left:9.00pt;mso-wrap-distance-top:0.00pt;mso-wrap-distance-right:9.00pt;mso-wrap-distance-bottom:0.00pt;" wrapcoords="0 0 0 99060 99449 99060 99449 0 0 0" stroked="false">
                <v:path textboxrect="0,0,0,0"/>
                <w10:wrap type="tight"/>
                <v:imagedata r:id="rId30" o:title=""/>
              </v:shape>
            </w:pict>
          </mc:Fallback>
        </mc:AlternateContent>
      </w:r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>
        <w:t xml:space="preserve">На 4 шаге необходимо подгрузить документы: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53000" cy="4259421"/>
                <wp:effectExtent l="0" t="0" r="0" b="8255"/>
                <wp:docPr id="20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4958027" cy="42637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390.00pt;height:335.39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/>
    </w:p>
    <w:p>
      <w:r>
        <w:t xml:space="preserve">После загрузки можно направлять заявку на согласование.</w:t>
      </w:r>
      <w:r>
        <w:t xml:space="preserve"> </w:t>
      </w:r>
      <w:r/>
    </w:p>
    <w:p>
      <w:pPr>
        <w:rPr>
          <w14:ligatures w14:val="none"/>
        </w:rPr>
      </w:pPr>
      <w:r/>
      <w:commentRangeStart w:id="8"/>
      <w:commentRangeStart w:id="9"/>
      <w:r>
        <w:t xml:space="preserve">Заявка согласовывается оператором в течение 1-2 рабочих дней и банком-</w:t>
      </w:r>
      <w:r>
        <w:t xml:space="preserve">эквайреров</w:t>
      </w:r>
      <w:r>
        <w:t xml:space="preserve"> в срок до 10 </w:t>
      </w:r>
      <w:r>
        <w:t xml:space="preserve">рабочих дней.</w:t>
      </w:r>
      <w:commentRangeEnd w:id="8"/>
      <w:commentRangeEnd w:id="9"/>
      <w:r>
        <w:commentReference w:id="8"/>
        <w:commentReference w:id="9"/>
      </w:r>
      <w:r>
        <w:rPr>
          <w14:ligatures w14:val="none"/>
        </w:rPr>
      </w:r>
      <w:r>
        <w:rPr>
          <w14:ligatures w14:val="none"/>
        </w:rPr>
      </w:r>
    </w:p>
    <w:p>
      <w:pPr>
        <w:rPr>
          <w14:ligatures w14:val="none"/>
        </w:rPr>
      </w:pPr>
      <w:r>
        <w:t xml:space="preserve">Статусы по рассмотрению заявок можно смотреть через меню «Заявки на подключение» - «Мои заявки на подключение».</w:t>
      </w:r>
      <w:r>
        <w:rPr>
          <w14:ligatures w14:val="none"/>
        </w:rPr>
      </w:r>
      <w:r>
        <w:rPr>
          <w14:ligatures w14:val="none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93065" cy="1794175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395713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 flipH="0" flipV="0">
                          <a:off x="0" y="0"/>
                          <a:ext cx="5293064" cy="17941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16.78pt;height:141.27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/>
    </w:p>
    <w:p>
      <w:pPr>
        <w:rPr>
          <w:highlight w:val="none"/>
          <w:lang w:val="ru-RU"/>
        </w:rPr>
      </w:pPr>
      <w:r>
        <w:rPr>
          <w:lang w:val="ru-RU"/>
        </w:rPr>
        <w:t xml:space="preserve">В списке заявок можно посмотреть следующие данные:</w:t>
      </w:r>
      <w:r>
        <w:rPr>
          <w:highlight w:val="none"/>
          <w:lang w:val="ru-RU"/>
        </w:rPr>
      </w:r>
      <w:r>
        <w:rPr>
          <w:highlight w:val="none"/>
          <w:lang w:val="ru-RU"/>
        </w:rPr>
      </w:r>
    </w:p>
    <w:p>
      <w:r/>
      <w:r/>
    </w:p>
    <w:p>
      <w:r>
        <w:rPr>
          <w:highlight w:val="none"/>
          <w:lang w:val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95560" cy="1392305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7421423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 flipH="0" flipV="0">
                          <a:off x="0" y="0"/>
                          <a:ext cx="5295559" cy="13923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16.97pt;height:109.63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highlight w:val="none"/>
          <w:lang w:val="ru-RU"/>
        </w:rPr>
      </w:r>
      <w:r/>
    </w:p>
    <w:p>
      <w:pPr>
        <w:rPr>
          <w:highlight w:val="none"/>
        </w:rPr>
      </w:pPr>
      <w:r>
        <w:rPr>
          <w:b/>
          <w:bCs/>
          <w:i/>
          <w:iCs/>
          <w:highlight w:val="none"/>
        </w:rPr>
        <w:t xml:space="preserve">Если заявка отправлена на доработку оператором</w:t>
      </w:r>
      <w:r>
        <w:rPr>
          <w:highlight w:val="none"/>
        </w:rPr>
        <w:t xml:space="preserve">, партнер может посмотреть комментарий.</w:t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  <w:t xml:space="preserve">Для этого необходимо перейти в заявку и нажать на иконку с часами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3850" cy="381000"/>
                <wp:effectExtent l="0" t="0" r="0" b="0"/>
                <wp:docPr id="2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76511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323849" cy="3809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25.50pt;height:30.00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  <w:t xml:space="preserve">.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На странице с историей согласования заявки, в последнем столбце, указан комментарий оператора. </w:t>
      </w:r>
      <w:r/>
    </w:p>
    <w:p>
      <w:pPr>
        <w:ind w:left="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98652" cy="2972205"/>
                <wp:effectExtent l="0" t="0" r="0" b="0"/>
                <wp:docPr id="2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33973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 flipH="0" flipV="0">
                          <a:off x="0" y="0"/>
                          <a:ext cx="5798652" cy="29722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56.59pt;height:234.03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/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/>
      <w:r>
        <w:rPr>
          <w:b/>
          <w:bCs/>
          <w:i/>
          <w:iCs/>
          <w:highlight w:val="none"/>
        </w:rPr>
        <w:t xml:space="preserve">Если заявка отклонена банком</w:t>
      </w:r>
      <w:r>
        <w:rPr>
          <w:highlight w:val="none"/>
        </w:rPr>
        <w:t xml:space="preserve">, для просмотра комментария</w:t>
      </w:r>
      <w:r>
        <w:t xml:space="preserve"> необходимо «провалиться в заявку», перейти на Шаг 3 «Информация об эквайрере» и нажать на иконку с часами:</w:t>
      </w:r>
      <w:r>
        <w:rPr>
          <w:highlight w:val="none"/>
        </w:rPr>
      </w:r>
      <w:r>
        <w:rPr>
          <w:highlight w:val="none"/>
        </w:rPr>
      </w:r>
    </w:p>
    <w:p>
      <w:r/>
      <w:r/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628318" cy="3947261"/>
                <wp:effectExtent l="0" t="0" r="0" b="0"/>
                <wp:docPr id="2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0074717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 flipH="0" flipV="0">
                          <a:off x="0" y="0"/>
                          <a:ext cx="5628318" cy="39472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43.17pt;height:310.81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  <w:t xml:space="preserve">Можно увидеть комментарий банка при отклонении заявки:</w:t>
      </w:r>
      <w:r>
        <w:rPr>
          <w:highlight w:val="none"/>
        </w:rPr>
      </w:r>
      <w:r>
        <w:rPr>
          <w:highlight w:val="none"/>
        </w:rPr>
      </w:r>
    </w:p>
    <w:p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436920"/>
                <wp:effectExtent l="0" t="0" r="0" b="0"/>
                <wp:docPr id="2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0597910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940424" cy="2436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67.75pt;height:191.88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>
        <w:rPr>
          <w:highlight w:val="none"/>
        </w:rPr>
      </w:r>
      <w:r/>
    </w:p>
    <w:p>
      <w:r>
        <w:rPr>
          <w:rStyle w:val="861"/>
          <w:highlight w:val="none"/>
        </w:rPr>
      </w:r>
      <w:r>
        <w:rPr>
          <w:rStyle w:val="861"/>
          <w:highlight w:val="none"/>
        </w:rPr>
      </w:r>
      <w:r/>
    </w:p>
    <w:p>
      <w:pPr>
        <w:pStyle w:val="844"/>
      </w:pPr>
      <w:r/>
      <w:bookmarkStart w:id="35" w:name="_Toc4"/>
      <w:r/>
      <w:bookmarkEnd w:id="7"/>
      <w:r>
        <w:t xml:space="preserve">Заявка на расширение объема участия</w:t>
      </w:r>
      <w:bookmarkEnd w:id="35"/>
      <w:r/>
      <w:r/>
    </w:p>
    <w:p>
      <w:r>
        <w:t xml:space="preserve">В рамках </w:t>
      </w:r>
      <w:r>
        <w:t xml:space="preserve">данной заявки можно расширить своё участие на СБП (если ранее был подключен только по картам Мир) или на карты Мир (если ранее был подключен только по СБП).</w:t>
      </w:r>
      <w:r/>
    </w:p>
    <w:p>
      <w:r>
        <w:t xml:space="preserve">Необходимо заполнить следующие</w:t>
      </w:r>
      <w:r>
        <w:t xml:space="preserve"> разделы</w:t>
      </w:r>
      <w:r>
        <w:t xml:space="preserve">:</w:t>
      </w:r>
      <w:r>
        <w:t xml:space="preserve"> </w:t>
      </w:r>
      <w:r/>
    </w:p>
    <w:p>
      <w:r>
        <w:t xml:space="preserve">Реквизиты юридического лица</w:t>
      </w:r>
      <w:r>
        <w:t xml:space="preserve"> заполняется автоматически. Для ИП адрес необходимо заполнять вручную.</w:t>
      </w:r>
      <w:r/>
    </w:p>
    <w:p>
      <w:r>
        <w:t xml:space="preserve">Тип акций для запуска</w:t>
      </w:r>
      <w:r/>
    </w:p>
    <w:p>
      <w:r>
        <w:t xml:space="preserve">Информация о бренде (заполняется автоматически)</w:t>
      </w:r>
      <w:r/>
    </w:p>
    <w:p>
      <w:pPr>
        <w:rPr>
          <w:rStyle w:val="856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94555" cy="6306185"/>
                <wp:effectExtent l="0" t="0" r="0" b="0"/>
                <wp:docPr id="27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5796252" cy="63080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56.26pt;height:496.55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w:rPr>
          <w:rStyle w:val="856"/>
        </w:rPr>
      </w:r>
      <w:r>
        <w:rPr>
          <w:rStyle w:val="856"/>
        </w:rPr>
      </w:r>
    </w:p>
    <w:p>
      <w:r>
        <w:t xml:space="preserve">Если ранее юридическое лицо уже было подключено к ПЛ по СБП и картам Мир – заполнить заявку будет невозможно.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581650" cy="1200150"/>
                <wp:effectExtent l="0" t="0" r="0" b="0"/>
                <wp:docPr id="28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5581649" cy="12001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39.50pt;height:94.50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/>
    </w:p>
    <w:p>
      <w:r>
        <w:t xml:space="preserve">Если у юридического лица не реализована услуга оплаты по СБП, то под «Оплата через СБП» будет выведен соответствующий текст. </w:t>
      </w:r>
      <w:r/>
    </w:p>
    <w:p>
      <w:r>
        <w:t xml:space="preserve">Далее необходимо заполнить блок Контактные лица ТСП и выб</w:t>
      </w:r>
      <w:r>
        <w:t xml:space="preserve">рать</w:t>
      </w:r>
      <w:r>
        <w:t xml:space="preserve"> банк-</w:t>
      </w:r>
      <w:r>
        <w:t xml:space="preserve">эквайрер</w:t>
      </w:r>
      <w:r>
        <w:t xml:space="preserve">. 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323080"/>
                <wp:effectExtent l="0" t="0" r="3175" b="1270"/>
                <wp:docPr id="29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5940425" cy="43230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67.75pt;height:340.40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/>
    </w:p>
    <w:p>
      <w:r>
        <w:t xml:space="preserve">После заполнения заявки необходимо направить </w:t>
      </w:r>
      <w:r>
        <w:t xml:space="preserve">ее</w:t>
      </w:r>
      <w:r>
        <w:t xml:space="preserve"> на согласование, можно сохранить черновик, если еще не закончено заполнение.</w:t>
      </w:r>
      <w:r/>
    </w:p>
    <w:p>
      <w:pPr>
        <w:rPr>
          <w:highlight w:val="none"/>
        </w:rPr>
      </w:pPr>
      <w:r>
        <w:t xml:space="preserve">Срок рассмотрения заявки, как правило, составляет 10 рабочих дней.</w:t>
      </w:r>
      <w:r>
        <w:rPr>
          <w:highlight w:val="none"/>
        </w:rPr>
      </w:r>
      <w:r>
        <w:rPr>
          <w:highlight w:val="none"/>
        </w:rPr>
      </w:r>
    </w:p>
    <w:p>
      <w:pPr>
        <w:rPr>
          <w14:ligatures w14:val="none"/>
        </w:rPr>
      </w:pPr>
      <w:r>
        <w:t xml:space="preserve">Статусы по рассмотрению заявок можно смотреть через меню «Заявки на подключение» - «Мои заявки на подключение».</w:t>
      </w:r>
      <w:r>
        <w:rPr>
          <w14:ligatures w14:val="none"/>
        </w:rPr>
      </w:r>
      <w:r>
        <w:rPr>
          <w14:ligatures w14:val="none"/>
        </w:rPr>
      </w:r>
    </w:p>
    <w:p>
      <w:pPr>
        <w:pStyle w:val="844"/>
      </w:pPr>
      <w:r/>
      <w:bookmarkStart w:id="36" w:name="_Toc5"/>
      <w:r>
        <w:t xml:space="preserve">Товарный знак/логотип</w:t>
      </w:r>
      <w:bookmarkEnd w:id="36"/>
      <w:r/>
      <w:r/>
    </w:p>
    <w:p>
      <w:r>
        <w:t xml:space="preserve">Для запуска акции необходимо предоставить АО «НСПК» разрешение на использование товарного знака/логотипа.</w:t>
      </w:r>
      <w:r/>
    </w:p>
    <w:p>
      <w:r>
        <w:t xml:space="preserve">В меню необходимо выбрать «Заявки на подключение» - «Товарный знак/логотип».</w:t>
      </w:r>
      <w:r/>
    </w:p>
    <w:p>
      <w:r>
        <w:t xml:space="preserve">Далее выбрать тип разрешения в зависимости от типа права использования товарного знака (пояснения ниже на скрине).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015986" cy="2855938"/>
                <wp:effectExtent l="0" t="0" r="0" b="1905"/>
                <wp:docPr id="30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5033923" cy="28661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394.96pt;height:224.88pt;mso-wrap-distance-left:0.00pt;mso-wrap-distance-top:0.00pt;mso-wrap-distance-right:0.00pt;mso-wrap-distance-bottom:0.00pt;" stroked="f">
                <v:path textboxrect="0,0,0,0"/>
                <v:imagedata r:id="rId41" o:title=""/>
              </v:shape>
            </w:pict>
          </mc:Fallback>
        </mc:AlternateContent>
      </w:r>
      <w:r/>
    </w:p>
    <w:p>
      <w:pPr>
        <w:tabs>
          <w:tab w:val="left" w:pos="1130" w:leader="none"/>
        </w:tabs>
      </w:pPr>
      <w:r>
        <w:t xml:space="preserve">В открывшейся форме выбрать юридическое лицо, от имени которого подается разрешение: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78200" cy="1155558"/>
                <wp:effectExtent l="0" t="0" r="0" b="6985"/>
                <wp:docPr id="31" name="Рисунок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3396207" cy="1161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266.00pt;height:90.99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/>
    </w:p>
    <w:p>
      <w:r>
        <w:t xml:space="preserve">После выбора юридического лица, система автоматически проставит значение в поле ИНН.</w:t>
      </w:r>
      <w:r/>
    </w:p>
    <w:p>
      <w:r>
        <w:t xml:space="preserve">Далее заполнить ФИО и должность уполномоченного лица. Для ИП – ИП ФИО.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29471" cy="2337809"/>
                <wp:effectExtent l="0" t="0" r="0" b="5715"/>
                <wp:docPr id="32" name="Рисунок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3248387" cy="23515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254.29pt;height:184.08pt;mso-wrap-distance-left:0.00pt;mso-wrap-distance-top:0.00pt;mso-wrap-distance-right:0.00pt;mso-wrap-distance-bottom:0.00pt;" stroked="f">
                <v:path textboxrect="0,0,0,0"/>
                <v:imagedata r:id="rId43" o:title=""/>
              </v:shape>
            </w:pict>
          </mc:Fallback>
        </mc:AlternateContent>
      </w:r>
      <w:r/>
    </w:p>
    <w:p>
      <w:r>
        <w:t xml:space="preserve">Далее необходимо выбрать основание полномочий из выпадающего списка и бренд.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17868" cy="996807"/>
                <wp:effectExtent l="0" t="0" r="0" b="0"/>
                <wp:docPr id="33" name="Рисунок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4281023" cy="10117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width:332.12pt;height:78.49pt;mso-wrap-distance-left:0.00pt;mso-wrap-distance-top:0.00pt;mso-wrap-distance-right:0.00pt;mso-wrap-distance-bottom:0.00pt;" stroked="f">
                <v:path textboxrect="0,0,0,0"/>
                <v:imagedata r:id="rId44" o:title=""/>
              </v:shape>
            </w:pict>
          </mc:Fallback>
        </mc:AlternateContent>
      </w:r>
      <w:r/>
    </w:p>
    <w:p>
      <w:r>
        <w:t xml:space="preserve">Если пользователь выбрал основанием полномочий «Доверенность», то появится обязательное поле для загрузки скана документа. При этом пользователь может прикрепить скан доверенности, подписанный ЭЦП (при наличии).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12157" cy="1189921"/>
                <wp:effectExtent l="0" t="0" r="3175" b="0"/>
                <wp:docPr id="34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4164513" cy="12050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323.79pt;height:93.69pt;mso-wrap-distance-left:0.00pt;mso-wrap-distance-top:0.00pt;mso-wrap-distance-right:0.00pt;mso-wrap-distance-bottom:0.00pt;" stroked="f">
                <v:path textboxrect="0,0,0,0"/>
                <v:imagedata r:id="rId45" o:title=""/>
              </v:shape>
            </w:pict>
          </mc:Fallback>
        </mc:AlternateContent>
      </w:r>
      <w:r/>
    </w:p>
    <w:p>
      <w:r>
        <w:t xml:space="preserve">В следующих полях необходимо загрузить сам товарный знак </w:t>
      </w:r>
      <w:r>
        <w:t xml:space="preserve">(который зарегистрирован в Роспатенте) и товарный знак в том виде, который будет использоваться в карточке бренда на сайте. Если необходимо – можно загрузить несколько товарных знаков, при условии, что товарный знак для акции представляет собой объединение</w:t>
      </w:r>
      <w:r>
        <w:t xml:space="preserve">/</w:t>
      </w:r>
      <w:r>
        <w:t xml:space="preserve">изменение нескольких зарегистрированных товарных знаков</w:t>
      </w:r>
      <w:r/>
    </w:p>
    <w:p>
      <w:r>
        <w:t xml:space="preserve">При загрузке товарного знака необходимо учитывать, что формат файла должен быть </w:t>
      </w:r>
      <w:r>
        <w:t xml:space="preserve">jpg</w:t>
      </w:r>
      <w:r>
        <w:t xml:space="preserve">, </w:t>
      </w:r>
      <w:r>
        <w:t xml:space="preserve">jpeg</w:t>
      </w:r>
      <w:r>
        <w:t xml:space="preserve">, </w:t>
      </w:r>
      <w:r>
        <w:t xml:space="preserve">png</w:t>
      </w:r>
      <w:r>
        <w:t xml:space="preserve">, </w:t>
      </w:r>
      <w:r>
        <w:t xml:space="preserve">svg</w:t>
      </w:r>
      <w:r>
        <w:t xml:space="preserve">. М</w:t>
      </w:r>
      <w:r>
        <w:t xml:space="preserve">аксимальный размер файла — 2 Мб</w:t>
      </w:r>
      <w:r>
        <w:t xml:space="preserve">.</w:t>
      </w:r>
      <w:r/>
    </w:p>
    <w:p>
      <w:r>
        <w:t xml:space="preserve">Также нужно будет указать номер свидетельства на товарный знак. 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749517" cy="1375488"/>
                <wp:effectExtent l="0" t="0" r="3175" b="0"/>
                <wp:docPr id="35" name="Рисунок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1775707" cy="13960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width:137.76pt;height:108.31pt;mso-wrap-distance-left:0.00pt;mso-wrap-distance-top:0.00pt;mso-wrap-distance-right:0.00pt;mso-wrap-distance-bottom:0.00pt;" stroked="f">
                <v:path textboxrect="0,0,0,0"/>
                <v:imagedata r:id="rId46" o:title=""/>
              </v:shape>
            </w:pict>
          </mc:Fallback>
        </mc:AlternateContent>
      </w:r>
      <w:r/>
    </w:p>
    <w:p>
      <w:r>
        <w:t xml:space="preserve">Далее необходимо загрузить изображение, которое будет использоваться на сайте (может совпадать с первым файлом).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175266" cy="1368957"/>
                <wp:effectExtent l="0" t="0" r="0" b="3175"/>
                <wp:docPr id="36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2198228" cy="13834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171.28pt;height:107.79pt;mso-wrap-distance-left:0.00pt;mso-wrap-distance-top:0.00pt;mso-wrap-distance-right:0.00pt;mso-wrap-distance-bottom:0.00pt;" stroked="f">
                <v:path textboxrect="0,0,0,0"/>
                <v:imagedata r:id="rId47" o:title=""/>
              </v:shape>
            </w:pict>
          </mc:Fallback>
        </mc:AlternateContent>
      </w:r>
      <w:r/>
    </w:p>
    <w:p>
      <w:pPr>
        <w:rPr>
          <w:lang w:val="en-US"/>
        </w:rPr>
      </w:pPr>
      <w:r>
        <w:t xml:space="preserve">После заполнения всех полей, необходимо нажать «Сформировать разрешение». Кнопка доступна только в случае заполнения всех обязательных полей.</w:t>
      </w:r>
      <w:r>
        <w:rPr>
          <w:lang w:val="en-US"/>
        </w:rPr>
        <w:t xml:space="preserve"> </w:t>
      </w:r>
      <w:r>
        <w:rPr>
          <w:lang w:val="en-US"/>
        </w:rPr>
      </w:r>
      <w:r>
        <w:rPr>
          <w:lang w:val="en-US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320290" cy="575945"/>
                <wp:effectExtent l="0" t="0" r="3810" b="0"/>
                <wp:docPr id="37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2320290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182.70pt;height:45.35pt;mso-wrap-distance-left:0.00pt;mso-wrap-distance-top:0.00pt;mso-wrap-distance-right:0.00pt;mso-wrap-distance-bottom:0.00pt;" stroked="f">
                <v:path textboxrect="0,0,0,0"/>
                <v:imagedata r:id="rId48" o:title=""/>
              </v:shape>
            </w:pict>
          </mc:Fallback>
        </mc:AlternateContent>
      </w:r>
      <w:r/>
    </w:p>
    <w:p>
      <w:r>
        <w:t xml:space="preserve">Далее на экране загрузится сформированный документ, заполненный данными из полей заявки.</w:t>
      </w:r>
      <w:r/>
    </w:p>
    <w:p>
      <w:r>
        <w:t xml:space="preserve">Необходимо проверить корректность заполнения всех полей. Если все верно – нажать «Отправить на проверку», если есть ошибки – нажать «Редактировать» и внести необходимые корректировки.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1060" cy="782320"/>
                <wp:effectExtent l="0" t="0" r="2540" b="0"/>
                <wp:docPr id="38" name="Рисунок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594106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width:467.80pt;height:61.60pt;mso-wrap-distance-left:0.00pt;mso-wrap-distance-top:0.00pt;mso-wrap-distance-right:0.00pt;mso-wrap-distance-bottom:0.00pt;" stroked="f">
                <v:path textboxrect="0,0,0,0"/>
                <v:imagedata r:id="rId49" o:title=""/>
              </v:shape>
            </w:pict>
          </mc:Fallback>
        </mc:AlternateContent>
      </w:r>
      <w:r/>
    </w:p>
    <w:p>
      <w:r>
        <w:t xml:space="preserve">После того, как заявка будет направлена на проверку – можно будет посмотреть ее статус в разделе «Мои заявки на подключение».</w:t>
      </w:r>
      <w:r/>
    </w:p>
    <w:p>
      <w:pPr>
        <w:pStyle w:val="844"/>
      </w:pPr>
      <w:r/>
      <w:bookmarkStart w:id="37" w:name="_Toc6"/>
      <w:r>
        <w:t xml:space="preserve">Гарантийное письмо.</w:t>
      </w:r>
      <w:bookmarkEnd w:id="37"/>
      <w:r/>
      <w:r/>
    </w:p>
    <w:p>
      <w:r>
        <w:t xml:space="preserve">Выбрать доступное ЮЛ или заполнить ИНН (данные подтянутся из СПАРК), ФИО и должность уполномоченного лица. Для ИП – ИП ФИО.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62961" cy="3039191"/>
                <wp:effectExtent l="0" t="0" r="9525" b="8890"/>
                <wp:docPr id="39" name="Рисуно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3780155" cy="30530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width:296.30pt;height:239.31pt;mso-wrap-distance-left:0.00pt;mso-wrap-distance-top:0.00pt;mso-wrap-distance-right:0.00pt;mso-wrap-distance-bottom:0.00pt;" stroked="f">
                <v:path textboxrect="0,0,0,0"/>
                <v:imagedata r:id="rId50" o:title=""/>
              </v:shape>
            </w:pict>
          </mc:Fallback>
        </mc:AlternateContent>
      </w:r>
      <w:r/>
    </w:p>
    <w:p>
      <w:r>
        <w:t xml:space="preserve">Далее необходимо выбрать основание полномочий из выпадающего списка и бренд.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61609" cy="794447"/>
                <wp:effectExtent l="0" t="0" r="0" b="5715"/>
                <wp:docPr id="40" name="Рисунок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3450213" cy="8153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width:264.69pt;height:62.55pt;mso-wrap-distance-left:0.00pt;mso-wrap-distance-top:0.00pt;mso-wrap-distance-right:0.00pt;mso-wrap-distance-bottom:0.00pt;" stroked="f">
                <v:path textboxrect="0,0,0,0"/>
                <v:imagedata r:id="rId44" o:title=""/>
              </v:shape>
            </w:pict>
          </mc:Fallback>
        </mc:AlternateContent>
      </w:r>
      <w:r/>
    </w:p>
    <w:p>
      <w:r>
        <w:t xml:space="preserve">Если пользователь выбрал основанием полномочий «Доверенность», то появится обязательное поле для загрузки скана документа. При этом пользователь может прикрепить скан доверенности, подписанный ЭЦП (при наличии)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29471" cy="934501"/>
                <wp:effectExtent l="0" t="0" r="0" b="0"/>
                <wp:docPr id="41" name="Рисунок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3346465" cy="968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width:254.29pt;height:73.58pt;mso-wrap-distance-left:0.00pt;mso-wrap-distance-top:0.00pt;mso-wrap-distance-right:0.00pt;mso-wrap-distance-bottom:0.00pt;" stroked="f">
                <v:path textboxrect="0,0,0,0"/>
                <v:imagedata r:id="rId51" o:title=""/>
              </v:shape>
            </w:pict>
          </mc:Fallback>
        </mc:AlternateContent>
      </w:r>
      <w:r/>
    </w:p>
    <w:p>
      <w:r>
        <w:t xml:space="preserve">В следующем поле необходимо загрузить сам логотип. При загрузке логотипа необходимо учитывать, что формат файла должен быть </w:t>
      </w:r>
      <w:r>
        <w:t xml:space="preserve">jpg</w:t>
      </w:r>
      <w:r>
        <w:t xml:space="preserve">, </w:t>
      </w:r>
      <w:r>
        <w:t xml:space="preserve">jpeg</w:t>
      </w:r>
      <w:r>
        <w:t xml:space="preserve">, </w:t>
      </w:r>
      <w:r>
        <w:t xml:space="preserve">png</w:t>
      </w:r>
      <w:r>
        <w:t xml:space="preserve">, </w:t>
      </w:r>
      <w:r>
        <w:t xml:space="preserve">svg</w:t>
      </w:r>
      <w:r>
        <w:t xml:space="preserve">, м</w:t>
      </w:r>
      <w:r>
        <w:t xml:space="preserve">аксимальный размер файла — 2 Мб</w:t>
      </w:r>
      <w:r>
        <w:t xml:space="preserve">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065619" cy="1122752"/>
                <wp:effectExtent l="0" t="0" r="1905" b="1270"/>
                <wp:docPr id="42" name="Рисунок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2"/>
                        <a:stretch/>
                      </pic:blipFill>
                      <pic:spPr bwMode="auto">
                        <a:xfrm>
                          <a:off x="0" y="0"/>
                          <a:ext cx="3089105" cy="11313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width:241.39pt;height:88.41pt;mso-wrap-distance-left:0.00pt;mso-wrap-distance-top:0.00pt;mso-wrap-distance-right:0.00pt;mso-wrap-distance-bottom:0.00pt;" stroked="f">
                <v:path textboxrect="0,0,0,0"/>
                <v:imagedata r:id="rId52" o:title=""/>
              </v:shape>
            </w:pict>
          </mc:Fallback>
        </mc:AlternateContent>
      </w:r>
      <w:r/>
    </w:p>
    <w:p>
      <w:r>
        <w:t xml:space="preserve">После заполнения всех полей, необходимо нажать «Сформировать разрешение». Кнопка доступна только в случае заполнения всех обязательных полей.</w:t>
      </w:r>
      <w:r>
        <w:t xml:space="preserve"> </w:t>
      </w:r>
      <w:r/>
    </w:p>
    <w:p>
      <w:r>
        <w:t xml:space="preserve">Далее на экране загрузится сформированный документ, заполненный данными из полей заявки.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94001" cy="2986335"/>
                <wp:effectExtent l="0" t="0" r="0" b="5080"/>
                <wp:docPr id="43" name="Рисунок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3803140" cy="29935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width:298.74pt;height:235.14pt;mso-wrap-distance-left:0.00pt;mso-wrap-distance-top:0.00pt;mso-wrap-distance-right:0.00pt;mso-wrap-distance-bottom:0.00pt;" stroked="f">
                <v:path textboxrect="0,0,0,0"/>
                <v:imagedata r:id="rId53" o:title=""/>
              </v:shape>
            </w:pict>
          </mc:Fallback>
        </mc:AlternateContent>
      </w:r>
      <w:r/>
    </w:p>
    <w:p>
      <w:r>
        <w:t xml:space="preserve">Необходимо проверить корректность заполнения всех полей. Если все верно – нажать «Отправить на проверку», если есть ошибки – нажать «Редактировать» и внести необходимые корректировки.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1060" cy="782320"/>
                <wp:effectExtent l="0" t="0" r="2540" b="0"/>
                <wp:docPr id="44" name="Рисунок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594106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467.80pt;height:61.60pt;mso-wrap-distance-left:0.00pt;mso-wrap-distance-top:0.00pt;mso-wrap-distance-right:0.00pt;mso-wrap-distance-bottom:0.00pt;" stroked="f">
                <v:path textboxrect="0,0,0,0"/>
                <v:imagedata r:id="rId49" o:title=""/>
              </v:shape>
            </w:pict>
          </mc:Fallback>
        </mc:AlternateContent>
      </w:r>
      <w:r/>
    </w:p>
    <w:p>
      <w:r>
        <w:t xml:space="preserve">После того, как заявка будет направлена на проверку – можно будет посмотреть статус в разделе «Мои заявки на подключение».</w:t>
      </w:r>
      <w:r/>
    </w:p>
    <w:p>
      <w:pPr>
        <w:pStyle w:val="844"/>
      </w:pPr>
      <w:r/>
      <w:bookmarkStart w:id="38" w:name="_Toc7"/>
      <w:r>
        <w:t xml:space="preserve">Гарантийное письмо (товарный знак используется по договору)</w:t>
      </w:r>
      <w:bookmarkEnd w:id="38"/>
      <w:r/>
      <w:r/>
    </w:p>
    <w:p>
      <w:r>
        <w:t xml:space="preserve">Заполняется в случае, если товарный знак принадлежит </w:t>
      </w:r>
      <w:r>
        <w:t xml:space="preserve">другой компании</w:t>
      </w:r>
      <w:r>
        <w:t xml:space="preserve"> и </w:t>
      </w:r>
      <w:r>
        <w:t xml:space="preserve">он</w:t>
      </w:r>
      <w:r>
        <w:t xml:space="preserve"> использует</w:t>
      </w:r>
      <w:r>
        <w:t xml:space="preserve">ся</w:t>
      </w:r>
      <w:r>
        <w:t xml:space="preserve"> по договору (франшиза или лицензионный договор).</w:t>
      </w:r>
      <w:r/>
    </w:p>
    <w:p>
      <w:r>
        <w:t xml:space="preserve">Выбрать доступное ЮЛ или заполнить ИНН (данные подтянутся из СПАРК), ФИО и должность уполномоченного лица. Для ИП – ИП ФИО.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29471" cy="2337809"/>
                <wp:effectExtent l="0" t="0" r="0" b="5715"/>
                <wp:docPr id="45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3248387" cy="23515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254.29pt;height:184.08pt;mso-wrap-distance-left:0.00pt;mso-wrap-distance-top:0.00pt;mso-wrap-distance-right:0.00pt;mso-wrap-distance-bottom:0.00pt;" stroked="f">
                <v:path textboxrect="0,0,0,0"/>
                <v:imagedata r:id="rId43" o:title=""/>
              </v:shape>
            </w:pict>
          </mc:Fallback>
        </mc:AlternateContent>
      </w:r>
      <w:r/>
    </w:p>
    <w:p>
      <w:r>
        <w:t xml:space="preserve">Далее необходимо выбрать основание полномочий из выпадающего списка и бренд.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17868" cy="996807"/>
                <wp:effectExtent l="0" t="0" r="0" b="0"/>
                <wp:docPr id="46" name="Рисунок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4281023" cy="10117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332.12pt;height:78.49pt;mso-wrap-distance-left:0.00pt;mso-wrap-distance-top:0.00pt;mso-wrap-distance-right:0.00pt;mso-wrap-distance-bottom:0.00pt;" stroked="f">
                <v:path textboxrect="0,0,0,0"/>
                <v:imagedata r:id="rId44" o:title=""/>
              </v:shape>
            </w:pict>
          </mc:Fallback>
        </mc:AlternateContent>
      </w:r>
      <w:r/>
    </w:p>
    <w:p>
      <w:r>
        <w:t xml:space="preserve">Если пользователь выбрал основанием полномочий «Доверенность», то появится обязательное поле для загрузки скана документа. При этом пользователь может прикрепить скан доверенности, подписанный ЭЦП (при наличии)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12157" cy="1189921"/>
                <wp:effectExtent l="0" t="0" r="3175" b="0"/>
                <wp:docPr id="47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4164513" cy="12050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6" o:spid="_x0000_s46" type="#_x0000_t75" style="width:323.79pt;height:93.69pt;mso-wrap-distance-left:0.00pt;mso-wrap-distance-top:0.00pt;mso-wrap-distance-right:0.00pt;mso-wrap-distance-bottom:0.00pt;" stroked="f">
                <v:path textboxrect="0,0,0,0"/>
                <v:imagedata r:id="rId45" o:title=""/>
              </v:shape>
            </w:pict>
          </mc:Fallback>
        </mc:AlternateContent>
      </w:r>
      <w:r/>
    </w:p>
    <w:p>
      <w:r>
        <w:t xml:space="preserve">В следующих полях необходимо загрузить сам товарный знак (который зарегистрирован в Роспатенте) и товарный знак в том виде, который будет использоваться в карточке бренда на сайте.</w:t>
      </w:r>
      <w:r/>
    </w:p>
    <w:p>
      <w:r>
        <w:t xml:space="preserve">При загрузке товарного знака необходимо учитывать, что формат файла должен быть </w:t>
      </w:r>
      <w:r>
        <w:t xml:space="preserve">jpg</w:t>
      </w:r>
      <w:r>
        <w:t xml:space="preserve">, </w:t>
      </w:r>
      <w:r>
        <w:t xml:space="preserve">jpeg</w:t>
      </w:r>
      <w:r>
        <w:t xml:space="preserve">, </w:t>
      </w:r>
      <w:r>
        <w:t xml:space="preserve">png</w:t>
      </w:r>
      <w:r>
        <w:t xml:space="preserve">, </w:t>
      </w:r>
      <w:r>
        <w:t xml:space="preserve">svg</w:t>
      </w:r>
      <w:r>
        <w:t xml:space="preserve">,</w:t>
      </w:r>
      <w:r>
        <w:br/>
      </w:r>
      <w:r>
        <w:t xml:space="preserve">м</w:t>
      </w:r>
      <w:r>
        <w:t xml:space="preserve">аксимальный размер файла — 2 Мб</w:t>
      </w:r>
      <w:r>
        <w:t xml:space="preserve">.</w:t>
      </w:r>
      <w:r/>
    </w:p>
    <w:p>
      <w:r>
        <w:t xml:space="preserve">Также нужно будет указать:</w:t>
      </w:r>
      <w:r/>
    </w:p>
    <w:p>
      <w:pPr>
        <w:pStyle w:val="855"/>
        <w:numPr>
          <w:ilvl w:val="0"/>
          <w:numId w:val="3"/>
        </w:numPr>
      </w:pPr>
      <w:r>
        <w:t xml:space="preserve">Номер свидетельства на товарный знак.</w:t>
      </w:r>
      <w:r/>
    </w:p>
    <w:p>
      <w:pPr>
        <w:pStyle w:val="855"/>
        <w:numPr>
          <w:ilvl w:val="0"/>
          <w:numId w:val="3"/>
        </w:numPr>
      </w:pPr>
      <w:r>
        <w:t xml:space="preserve">Наименование ЮЛ и ОГРН/ОГРН ИП п</w:t>
      </w:r>
      <w:r>
        <w:t xml:space="preserve">равообладател</w:t>
      </w:r>
      <w:r>
        <w:t xml:space="preserve">я</w:t>
      </w:r>
      <w:r>
        <w:t xml:space="preserve"> товарного знака</w:t>
      </w:r>
      <w:r>
        <w:t xml:space="preserve">, например, АО «НСПК», ОРГН </w:t>
      </w:r>
      <w:r>
        <w:rPr>
          <w:rFonts w:ascii="Arial" w:hAnsi="Arial" w:cs="Arial"/>
          <w:color w:val="4d5156"/>
          <w:sz w:val="21"/>
          <w:szCs w:val="21"/>
          <w:shd w:val="clear" w:color="auto" w:fill="ffffff"/>
        </w:rPr>
        <w:t xml:space="preserve">1147746831352</w:t>
      </w:r>
      <w:r/>
    </w:p>
    <w:p>
      <w:pPr>
        <w:pStyle w:val="855"/>
        <w:numPr>
          <w:ilvl w:val="0"/>
          <w:numId w:val="3"/>
        </w:numPr>
      </w:pPr>
      <w:r>
        <w:t xml:space="preserve">Номер и дату договора из реестра Роспатента.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578440" cy="2816209"/>
                <wp:effectExtent l="6350" t="6350" r="6350" b="6350"/>
                <wp:docPr id="48" name="Рисунок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4"/>
                        <a:stretch/>
                      </pic:blipFill>
                      <pic:spPr bwMode="auto">
                        <a:xfrm flipH="0" flipV="0">
                          <a:off x="0" y="0"/>
                          <a:ext cx="2578439" cy="28162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7" o:spid="_x0000_s47" type="#_x0000_t75" style="width:203.03pt;height:221.75pt;mso-wrap-distance-left:0.00pt;mso-wrap-distance-top:0.00pt;mso-wrap-distance-right:0.00pt;mso-wrap-distance-bottom:0.00pt;" stroked="f">
                <v:path textboxrect="0,0,0,0"/>
                <v:imagedata r:id="rId54" o:title=""/>
              </v:shape>
            </w:pict>
          </mc:Fallback>
        </mc:AlternateContent>
      </w:r>
      <w:r/>
    </w:p>
    <w:p>
      <w:r>
        <w:t xml:space="preserve">Далее необходимо загрузить изображение, которое будет использоваться на сайте (может совпадать с первым файлом).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175266" cy="1368957"/>
                <wp:effectExtent l="0" t="0" r="0" b="3175"/>
                <wp:docPr id="49" name="Рисунок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2198228" cy="13834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8" o:spid="_x0000_s48" type="#_x0000_t75" style="width:171.28pt;height:107.79pt;mso-wrap-distance-left:0.00pt;mso-wrap-distance-top:0.00pt;mso-wrap-distance-right:0.00pt;mso-wrap-distance-bottom:0.00pt;" stroked="f">
                <v:path textboxrect="0,0,0,0"/>
                <v:imagedata r:id="rId47" o:title=""/>
              </v:shape>
            </w:pict>
          </mc:Fallback>
        </mc:AlternateContent>
      </w:r>
      <w:r/>
    </w:p>
    <w:p>
      <w:pPr>
        <w:rPr>
          <w:lang w:val="en-US"/>
        </w:rPr>
      </w:pPr>
      <w:r>
        <w:t xml:space="preserve">После заполнения всех полей, необходимо нажать «Сформировать разрешение». Кнопка доступна только в случае заполнения всех обязательных полей.</w:t>
      </w:r>
      <w:r>
        <w:rPr>
          <w:lang w:val="en-US"/>
        </w:rPr>
        <w:t xml:space="preserve"> </w:t>
      </w:r>
      <w:r>
        <w:rPr>
          <w:lang w:val="en-US"/>
        </w:rPr>
      </w:r>
      <w:r>
        <w:rPr>
          <w:lang w:val="en-US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320290" cy="575945"/>
                <wp:effectExtent l="0" t="0" r="3810" b="0"/>
                <wp:docPr id="50" name="Рисунок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2320290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9" o:spid="_x0000_s49" type="#_x0000_t75" style="width:182.70pt;height:45.35pt;mso-wrap-distance-left:0.00pt;mso-wrap-distance-top:0.00pt;mso-wrap-distance-right:0.00pt;mso-wrap-distance-bottom:0.00pt;" stroked="f">
                <v:path textboxrect="0,0,0,0"/>
                <v:imagedata r:id="rId48" o:title=""/>
              </v:shape>
            </w:pict>
          </mc:Fallback>
        </mc:AlternateContent>
      </w:r>
      <w:r/>
    </w:p>
    <w:p>
      <w:r>
        <w:t xml:space="preserve">Далее на экране загрузится сформированный документ, заполненный данными из полей заявки.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94001" cy="2986335"/>
                <wp:effectExtent l="0" t="0" r="0" b="5080"/>
                <wp:docPr id="51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3803140" cy="29935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0" o:spid="_x0000_s50" type="#_x0000_t75" style="width:298.74pt;height:235.14pt;mso-wrap-distance-left:0.00pt;mso-wrap-distance-top:0.00pt;mso-wrap-distance-right:0.00pt;mso-wrap-distance-bottom:0.00pt;" stroked="f">
                <v:path textboxrect="0,0,0,0"/>
                <v:imagedata r:id="rId53" o:title=""/>
              </v:shape>
            </w:pict>
          </mc:Fallback>
        </mc:AlternateContent>
      </w:r>
      <w:r/>
    </w:p>
    <w:p>
      <w:r>
        <w:t xml:space="preserve">Н</w:t>
      </w:r>
      <w:r>
        <w:t xml:space="preserve">еобходимо проверить корректность заполнения всех полей. Если все верно – нажать «Отправить на проверку», если есть ошибки – нажать «Редактировать» и внести необходимые корректировки.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1060" cy="782320"/>
                <wp:effectExtent l="0" t="0" r="2540" b="0"/>
                <wp:docPr id="52" name="Рисунок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594106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1" o:spid="_x0000_s51" type="#_x0000_t75" style="width:467.80pt;height:61.60pt;mso-wrap-distance-left:0.00pt;mso-wrap-distance-top:0.00pt;mso-wrap-distance-right:0.00pt;mso-wrap-distance-bottom:0.00pt;" stroked="f">
                <v:path textboxrect="0,0,0,0"/>
                <v:imagedata r:id="rId49" o:title=""/>
              </v:shape>
            </w:pict>
          </mc:Fallback>
        </mc:AlternateContent>
      </w:r>
      <w:r/>
    </w:p>
    <w:p>
      <w:r>
        <w:t xml:space="preserve">После того, как заявка будет направлена на проверку – можно будет посмотреть статус в разделе «Мои заявки на подключение».</w:t>
      </w:r>
      <w:r/>
    </w:p>
    <w:p>
      <w:r/>
      <w:r/>
    </w:p>
    <w:p>
      <w:pPr>
        <w:pStyle w:val="844"/>
      </w:pPr>
      <w:r/>
      <w:bookmarkStart w:id="39" w:name="_Toc8"/>
      <w:r>
        <w:t xml:space="preserve">Просмотр статусов заявок</w:t>
      </w:r>
      <w:bookmarkEnd w:id="39"/>
      <w:r/>
      <w:r/>
    </w:p>
    <w:p>
      <w:r>
        <w:t xml:space="preserve">В разделе Мои заявки на подключение можно посмотреть статусы заявок. Сразу после отправки заявке присваивается статус «На проверке».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22728" cy="1905240"/>
                <wp:effectExtent l="0" t="0" r="0" b="0"/>
                <wp:docPr id="53" name="Рисунок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4138799" cy="19126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2" o:spid="_x0000_s52" type="#_x0000_t75" style="width:324.62pt;height:150.02pt;mso-wrap-distance-left:0.00pt;mso-wrap-distance-top:0.00pt;mso-wrap-distance-right:0.00pt;mso-wrap-distance-bottom:0.00pt;" stroked="f">
                <v:path textboxrect="0,0,0,0"/>
                <v:imagedata r:id="rId55" o:title=""/>
              </v:shape>
            </w:pict>
          </mc:Fallback>
        </mc:AlternateContent>
      </w:r>
      <w:r/>
    </w:p>
    <w:p>
      <w:r>
        <w:t xml:space="preserve">В этом статусе заявка поступила в НСПК на проверку юристам.</w:t>
      </w:r>
      <w:r/>
    </w:p>
    <w:p>
      <w:pPr>
        <w:pStyle w:val="855"/>
        <w:numPr>
          <w:ilvl w:val="0"/>
          <w:numId w:val="4"/>
        </w:numPr>
      </w:pPr>
      <w:r>
        <w:t xml:space="preserve">Юристы могут согласовать заявку без комментариев, в таком случае статус изменится на </w:t>
      </w:r>
      <w:r>
        <w:rPr>
          <w:b/>
        </w:rPr>
        <w:t xml:space="preserve">«Предварительно согласована».</w:t>
      </w:r>
      <w:r>
        <w:t xml:space="preserve"> После этого необходимо зайти в заявку и следовать инструкциям.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5980" cy="1532890"/>
                <wp:effectExtent l="0" t="0" r="7620" b="0"/>
                <wp:docPr id="54" name="Рисуно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6"/>
                        <a:stretch/>
                      </pic:blipFill>
                      <pic:spPr bwMode="auto">
                        <a:xfrm>
                          <a:off x="0" y="0"/>
                          <a:ext cx="5935980" cy="153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3" o:spid="_x0000_s53" type="#_x0000_t75" style="width:467.40pt;height:120.70pt;mso-wrap-distance-left:0.00pt;mso-wrap-distance-top:0.00pt;mso-wrap-distance-right:0.00pt;mso-wrap-distance-bottom:0.00pt;" stroked="f">
                <v:path textboxrect="0,0,0,0"/>
                <v:imagedata r:id="rId56" o:title=""/>
              </v:shape>
            </w:pict>
          </mc:Fallback>
        </mc:AlternateContent>
      </w:r>
      <w:r/>
    </w:p>
    <w:p>
      <w:r>
        <w:t xml:space="preserve">Вот как выглядит заявка в статусе «Предварительно согласована». Доступен просмотр данных по заявке + сформированный документ.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5980" cy="3567430"/>
                <wp:effectExtent l="0" t="0" r="7620" b="0"/>
                <wp:docPr id="55" name="Рисуно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5935980" cy="356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4" o:spid="_x0000_s54" type="#_x0000_t75" style="width:467.40pt;height:280.90pt;mso-wrap-distance-left:0.00pt;mso-wrap-distance-top:0.00pt;mso-wrap-distance-right:0.00pt;mso-wrap-distance-bottom:0.00pt;" stroked="f">
                <v:path textboxrect="0,0,0,0"/>
                <v:imagedata r:id="rId57" o:title=""/>
              </v:shape>
            </w:pict>
          </mc:Fallback>
        </mc:AlternateContent>
      </w:r>
      <w:r/>
    </w:p>
    <w:p>
      <w:r>
        <w:t xml:space="preserve">Ниже есть инструкция, что необходимо сделать дальше.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1060" cy="2193290"/>
                <wp:effectExtent l="0" t="0" r="2540" b="0"/>
                <wp:docPr id="56" name="Рисуно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8"/>
                        <a:stretch/>
                      </pic:blipFill>
                      <pic:spPr bwMode="auto">
                        <a:xfrm>
                          <a:off x="0" y="0"/>
                          <a:ext cx="5941060" cy="2193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5" o:spid="_x0000_s55" type="#_x0000_t75" style="width:467.80pt;height:172.70pt;mso-wrap-distance-left:0.00pt;mso-wrap-distance-top:0.00pt;mso-wrap-distance-right:0.00pt;mso-wrap-distance-bottom:0.00pt;" stroked="f">
                <v:path textboxrect="0,0,0,0"/>
                <v:imagedata r:id="rId58" o:title=""/>
              </v:shape>
            </w:pict>
          </mc:Fallback>
        </mc:AlternateContent>
      </w:r>
      <w:r/>
    </w:p>
    <w:p>
      <w:r>
        <w:t xml:space="preserve">Для скачивания документа необходимо нажать на иконку: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86836" cy="2267501"/>
                <wp:effectExtent l="0" t="0" r="0" b="0"/>
                <wp:docPr id="57" name="Рисунок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9"/>
                        <a:stretch/>
                      </pic:blipFill>
                      <pic:spPr bwMode="auto">
                        <a:xfrm>
                          <a:off x="0" y="0"/>
                          <a:ext cx="4403081" cy="2275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6" o:spid="_x0000_s56" type="#_x0000_t75" style="width:345.42pt;height:178.54pt;mso-wrap-distance-left:0.00pt;mso-wrap-distance-top:0.00pt;mso-wrap-distance-right:0.00pt;mso-wrap-distance-bottom:0.00pt;" stroked="f">
                <v:path textboxrect="0,0,0,0"/>
                <v:imagedata r:id="rId59" o:title=""/>
              </v:shape>
            </w:pict>
          </mc:Fallback>
        </mc:AlternateContent>
      </w:r>
      <w:r/>
    </w:p>
    <w:p>
      <w:r>
        <w:t xml:space="preserve">Далее подписать документ, отсканировать, загрузить через кнопку «Загрузить» и нажать «на согласование». Заявка снова перейдет в статус «на проверке» (в данном случае будет согласовываться модератором). Необходимо ожидать финального согласования.</w:t>
      </w:r>
      <w:r/>
    </w:p>
    <w:p>
      <w:r>
        <w:t xml:space="preserve">В случае, если по документу нет замечаний, заявка перейдет в статус «Согласована». Если документ не был подписан ЭЦП – Партнеру необходимо будет направить оригинал в НСПК по </w:t>
      </w:r>
      <w:r>
        <w:t xml:space="preserve">почте РФ или через ЭДО.</w:t>
      </w:r>
      <w:r/>
    </w:p>
    <w:p>
      <w:r>
        <w:t xml:space="preserve">В случае, если по документу будут замечания, заявка перейдет в статус </w:t>
      </w:r>
      <w:r>
        <w:t xml:space="preserve">«На доработку»</w:t>
      </w:r>
      <w:r>
        <w:t xml:space="preserve">.</w:t>
      </w:r>
      <w:r/>
    </w:p>
    <w:p>
      <w:r>
        <w:t xml:space="preserve">Необходимо зайти в заявку, посмотреть комментарий, скорректировать загруженный документ и направить на согласование повторно.</w:t>
      </w:r>
      <w:r/>
    </w:p>
    <w:p>
      <w:pPr>
        <w:pStyle w:val="855"/>
        <w:numPr>
          <w:ilvl w:val="0"/>
          <w:numId w:val="4"/>
        </w:numPr>
      </w:pPr>
      <w:r>
        <w:t xml:space="preserve">Если заявка юристами не согласована и не требует доработок, заявка переходит в статус </w:t>
      </w:r>
      <w:r>
        <w:rPr>
          <w:b/>
        </w:rPr>
        <w:t xml:space="preserve">«Отклонена».</w:t>
      </w:r>
      <w:r>
        <w:t xml:space="preserve"> Данную заявку уже невозможно отредактировать. По ней принято окончательное решение.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91866" cy="1169382"/>
                <wp:effectExtent l="0" t="0" r="0" b="0"/>
                <wp:docPr id="58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4326464" cy="11788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7" o:spid="_x0000_s57" type="#_x0000_t75" style="width:337.94pt;height:92.08pt;mso-wrap-distance-left:0.00pt;mso-wrap-distance-top:0.00pt;mso-wrap-distance-right:0.00pt;mso-wrap-distance-bottom:0.00pt;" stroked="f">
                <v:path textboxrect="0,0,0,0"/>
                <v:imagedata r:id="rId60" o:title=""/>
              </v:shape>
            </w:pict>
          </mc:Fallback>
        </mc:AlternateContent>
      </w:r>
      <w:r/>
    </w:p>
    <w:p>
      <w:r>
        <w:t xml:space="preserve">Можно зайти в заявку и посмотреть, с каким комментарием заявку отклонили. По возможность устранить замечания и </w:t>
      </w:r>
      <w:r>
        <w:rPr>
          <w:b/>
        </w:rPr>
        <w:t xml:space="preserve">создать новую заявку</w:t>
      </w:r>
      <w:r>
        <w:t xml:space="preserve">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83422" cy="1073558"/>
                <wp:effectExtent l="0" t="0" r="0" b="0"/>
                <wp:docPr id="59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4822402" cy="10823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8" o:spid="_x0000_s58" type="#_x0000_t75" style="width:376.65pt;height:84.53pt;mso-wrap-distance-left:0.00pt;mso-wrap-distance-top:0.00pt;mso-wrap-distance-right:0.00pt;mso-wrap-distance-bottom:0.00pt;" stroked="f">
                <v:path textboxrect="0,0,0,0"/>
                <v:imagedata r:id="rId61" o:title=""/>
              </v:shape>
            </w:pict>
          </mc:Fallback>
        </mc:AlternateContent>
      </w:r>
      <w:r/>
    </w:p>
    <w:p>
      <w:r/>
      <w:r/>
    </w:p>
    <w:p>
      <w:pPr>
        <w:pStyle w:val="855"/>
        <w:numPr>
          <w:ilvl w:val="0"/>
          <w:numId w:val="4"/>
        </w:numPr>
      </w:pPr>
      <w:r>
        <w:t xml:space="preserve">Если заявку необходимо доработать, она будет переведена в статус </w:t>
      </w:r>
      <w:r>
        <w:rPr>
          <w:b/>
        </w:rPr>
        <w:t xml:space="preserve">«На доработку».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59972" cy="1739068"/>
                <wp:effectExtent l="0" t="0" r="7620" b="0"/>
                <wp:docPr id="60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5488735" cy="174822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miter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9" o:spid="_x0000_s59" type="#_x0000_t75" style="width:429.92pt;height:136.93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/>
    </w:p>
    <w:p>
      <w:r>
        <w:t xml:space="preserve">Партнеру необходимо войти в заявку, ознакомиться с комментарием, внести корректировку в заявку и повторно направить на рассмотрение.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34150" cy="1142420"/>
                <wp:effectExtent l="0" t="0" r="9525" b="635"/>
                <wp:docPr id="61" name="Рисунок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4354092" cy="11476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0" o:spid="_x0000_s60" type="#_x0000_t75" style="width:341.27pt;height:89.95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/>
    </w:p>
    <w:p>
      <w:r/>
      <w:r/>
    </w:p>
    <w:p>
      <w:r>
        <w:t xml:space="preserve">После этого заявка вновь поступает на рассмотрение юристам.</w:t>
      </w:r>
      <w:r/>
    </w:p>
    <w:p>
      <w:r>
        <w:t xml:space="preserve">С историей согласования заявки пользователь может ознакомиться, перейдя в заявку</w:t>
      </w:r>
      <w:r/>
    </w:p>
    <w:p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5225415</wp:posOffset>
                </wp:positionH>
                <wp:positionV relativeFrom="paragraph">
                  <wp:posOffset>600075</wp:posOffset>
                </wp:positionV>
                <wp:extent cx="285750" cy="311150"/>
                <wp:effectExtent l="0" t="0" r="19050" b="12700"/>
                <wp:wrapNone/>
                <wp:docPr id="62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5750" cy="3111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1" o:spid="_x0000_s61" o:spt="1" type="#_x0000_t1" style="position:absolute;z-index:251660288;o:allowoverlap:true;o:allowincell:true;mso-position-horizontal-relative:text;margin-left:411.45pt;mso-position-horizontal:absolute;mso-position-vertical-relative:text;margin-top:47.25pt;mso-position-vertical:absolute;width:22.50pt;height:24.50pt;mso-wrap-distance-left:9.00pt;mso-wrap-distance-top:0.00pt;mso-wrap-distance-right:9.00pt;mso-wrap-distance-bottom:0.00pt;visibility:visible;" filled="f" strokecolor="#00B050" strokeweight="1.50pt"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1499235"/>
                <wp:effectExtent l="0" t="0" r="3175" b="5715"/>
                <wp:docPr id="63" name="Рисунок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940425" cy="14992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2" o:spid="_x0000_s62" type="#_x0000_t75" style="width:467.75pt;height:118.05pt;mso-wrap-distance-left:0.00pt;mso-wrap-distance-top:0.00pt;mso-wrap-distance-right:0.00pt;mso-wrap-distance-bottom:0.00pt;" stroked="false">
                <v:path textboxrect="0,0,0,0"/>
                <v:imagedata r:id="rId64" o:title=""/>
              </v:shape>
            </w:pict>
          </mc:Fallback>
        </mc:AlternateContent>
      </w:r>
      <w:r>
        <w:t xml:space="preserve"> 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59300" cy="1852475"/>
                <wp:effectExtent l="0" t="0" r="0" b="0"/>
                <wp:docPr id="64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4567162" cy="185566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3" o:spid="_x0000_s63" type="#_x0000_t75" style="width:359.00pt;height:145.86pt;mso-wrap-distance-left:0.00pt;mso-wrap-distance-top:0.00pt;mso-wrap-distance-right:0.00pt;mso-wrap-distance-bottom:0.00pt;" stroked="false">
                <v:path textboxrect="0,0,0,0"/>
                <v:imagedata r:id="rId65" o:title=""/>
              </v:shape>
            </w:pict>
          </mc:Fallback>
        </mc:AlternateContent>
      </w:r>
      <w:r/>
    </w:p>
    <w:p>
      <w:r>
        <w:t xml:space="preserve">Одна заявка оформляется на одно ЮЛ, если пользователь является уполномоченным лицом и ему необходимо дать разрешение всем своим ЮЛ, то нужно на каждое ЮЛ оформить свою заявку. </w:t>
      </w:r>
      <w:r/>
    </w:p>
    <w:p>
      <w:pPr>
        <w:pStyle w:val="843"/>
      </w:pPr>
      <w:r/>
      <w:bookmarkStart w:id="40" w:name="_Toc9"/>
      <w:r>
        <w:t xml:space="preserve">Заявка на подключение доп. Бренда</w:t>
      </w:r>
      <w:bookmarkEnd w:id="40"/>
      <w:r/>
      <w:r/>
    </w:p>
    <w:p>
      <w:r>
        <w:t xml:space="preserve">Если партнер хочет зарегистрировать дополнительный бренд в Программе лояльности, необходимо заполнить заявку «Новый бренд».</w:t>
      </w:r>
      <w:r>
        <w:t xml:space="preserve"> </w:t>
      </w:r>
      <w:r>
        <w:t xml:space="preserve">Данный тип заявок сейчас доступен только для акций по картам «Мир».</w:t>
      </w:r>
      <w:r/>
    </w:p>
    <w:p>
      <w:pPr>
        <w:spacing w:after="0" w:line="240" w:lineRule="auto"/>
        <w:shd w:val="clear" w:color="auto" w:fill="ffffff"/>
        <w:rPr>
          <w:rFonts w:eastAsia="Times New Roman" w:cstheme="minorHAnsi"/>
          <w:color w:val="0d0d0d"/>
          <w:lang w:eastAsia="ru-RU"/>
        </w:rPr>
      </w:pPr>
      <w:r>
        <w:rPr>
          <w:rFonts w:eastAsia="Times New Roman" w:cstheme="minorHAnsi"/>
          <w:color w:val="0d0d0d"/>
          <w:lang w:eastAsia="ru-RU"/>
        </w:rPr>
        <w:t xml:space="preserve">Обращаем внимание, что доступ к оформлению данной заявки</w:t>
      </w:r>
      <w:r>
        <w:rPr>
          <w:rFonts w:eastAsia="Times New Roman" w:cstheme="minorHAnsi"/>
          <w:color w:val="0d0d0d"/>
          <w:lang w:eastAsia="ru-RU"/>
        </w:rPr>
        <w:t xml:space="preserve"> </w:t>
      </w:r>
      <w:r>
        <w:rPr>
          <w:rFonts w:eastAsia="Times New Roman" w:cstheme="minorHAnsi"/>
          <w:color w:val="0d0d0d"/>
          <w:lang w:eastAsia="ru-RU"/>
        </w:rPr>
        <w:t xml:space="preserve">откроется после того, как </w:t>
      </w:r>
      <w:r>
        <w:rPr>
          <w:rFonts w:eastAsia="Times New Roman" w:cstheme="minorHAnsi"/>
          <w:color w:val="0d0d0d"/>
          <w:lang w:eastAsia="ru-RU"/>
        </w:rPr>
        <w:t xml:space="preserve">Оператор программы АО «НСПК» </w:t>
      </w:r>
      <w:r>
        <w:rPr>
          <w:rFonts w:eastAsia="Times New Roman" w:cstheme="minorHAnsi"/>
          <w:color w:val="0d0d0d"/>
          <w:lang w:eastAsia="ru-RU"/>
        </w:rPr>
        <w:t xml:space="preserve">согласует заявление на присоединение к программе лояльности, т.е. у пользователя будет роль </w:t>
      </w:r>
      <w:r>
        <w:rPr>
          <w:rFonts w:eastAsia="Times New Roman" w:cstheme="minorHAnsi"/>
          <w:color w:val="0d0d0d"/>
          <w:lang w:val="en-US" w:eastAsia="ru-RU"/>
        </w:rPr>
        <w:t xml:space="preserve">TSP</w:t>
      </w:r>
      <w:r>
        <w:rPr>
          <w:rFonts w:eastAsia="Times New Roman" w:cstheme="minorHAnsi"/>
          <w:color w:val="0d0d0d"/>
          <w:lang w:eastAsia="ru-RU"/>
        </w:rPr>
        <w:t xml:space="preserve">.</w:t>
      </w:r>
      <w:r>
        <w:rPr>
          <w:rFonts w:eastAsia="Times New Roman" w:cstheme="minorHAnsi"/>
          <w:color w:val="0d0d0d"/>
          <w:lang w:eastAsia="ru-RU"/>
        </w:rPr>
      </w:r>
      <w:r>
        <w:rPr>
          <w:rFonts w:eastAsia="Times New Roman" w:cstheme="minorHAnsi"/>
          <w:color w:val="0d0d0d"/>
          <w:lang w:eastAsia="ru-RU"/>
        </w:rPr>
      </w:r>
    </w:p>
    <w:p>
      <w:pPr>
        <w:rPr>
          <w:lang w:val="en-US"/>
        </w:rPr>
      </w:pPr>
      <w:r>
        <w:rPr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00675" cy="1952625"/>
                <wp:effectExtent l="0" t="0" r="9525" b="9525"/>
                <wp:docPr id="65" name="Рисунок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40067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4" o:spid="_x0000_s64" type="#_x0000_t75" style="width:425.25pt;height:153.75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tabs>
          <w:tab w:val="left" w:pos="1130" w:leader="none"/>
        </w:tabs>
      </w:pPr>
      <w:r>
        <w:t xml:space="preserve">В открывшейся форме на Шаге 1: </w:t>
      </w:r>
      <w:r/>
    </w:p>
    <w:p>
      <w:pPr>
        <w:tabs>
          <w:tab w:val="left" w:pos="1130" w:leader="none"/>
        </w:tabs>
        <w:rPr>
          <w:rFonts w:ascii="Roboto" w:hAnsi="Roboto"/>
          <w:color w:val="000000"/>
          <w:shd w:val="clear" w:color="auto" w:fill="ffffff"/>
        </w:rPr>
      </w:pPr>
      <w:r>
        <w:t xml:space="preserve">Если у пользователя, оформляющего заявку, во владении находится группа магазинов, принадлежавших одному юридическому лицу и </w:t>
      </w:r>
      <w:r>
        <w:t xml:space="preserve">у данного лица</w:t>
      </w:r>
      <w:r>
        <w:t xml:space="preserve"> имеется согласованная заявка </w:t>
      </w:r>
      <w:r>
        <w:t xml:space="preserve">на присоединение через ЛК ТСП) то в поле ИНН автоматически заполняется ИНН.</w:t>
      </w:r>
      <w:r>
        <w:rPr>
          <w:rFonts w:ascii="Roboto" w:hAnsi="Roboto"/>
          <w:color w:val="000000"/>
          <w:shd w:val="clear" w:color="auto" w:fill="ffffff"/>
        </w:rPr>
      </w:r>
      <w:r>
        <w:rPr>
          <w:rFonts w:ascii="Roboto" w:hAnsi="Roboto"/>
          <w:color w:val="000000"/>
          <w:shd w:val="clear" w:color="auto" w:fill="ffffff"/>
        </w:rPr>
      </w:r>
    </w:p>
    <w:p>
      <w:r>
        <w:t xml:space="preserve">Если у пользователя, оформляющего заявку, во владении находятся группы магазинов, принадлежавшие нескольким юридическим лицам и </w:t>
      </w:r>
      <w:r>
        <w:t xml:space="preserve">у данных лиц</w:t>
      </w:r>
      <w:r>
        <w:t xml:space="preserve"> имеются согласованные заявки </w:t>
      </w:r>
      <w:r>
        <w:t xml:space="preserve">на присоединение через ЛК ТСП</w:t>
      </w:r>
      <w:r>
        <w:t xml:space="preserve">, то в форме заявке появляется поле с выбором Юридического лица, от лица которого будет отправлена заявка: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78200" cy="1155558"/>
                <wp:effectExtent l="0" t="0" r="0" b="6985"/>
                <wp:docPr id="66" name="Рисунок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3396207" cy="1161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5" o:spid="_x0000_s65" type="#_x0000_t75" style="width:266.00pt;height:90.99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/>
    </w:p>
    <w:p>
      <w:r>
        <w:t xml:space="preserve">После выбора ЮЛ, система автоматически проставит значение в поле ИНН.</w:t>
      </w:r>
      <w:r/>
    </w:p>
    <w:p>
      <w:pPr>
        <w:rPr>
          <w:b/>
        </w:rPr>
      </w:pPr>
      <w:r>
        <w:t xml:space="preserve">Если системе не удалось автоматически идентифицировать группы магазинов пользователя или у юридического лица отсутствуют заявки </w:t>
      </w:r>
      <w:r>
        <w:t xml:space="preserve">на присоединение через ЛК ТСП</w:t>
      </w:r>
      <w:r>
        <w:t xml:space="preserve">, </w:t>
      </w:r>
      <w:r>
        <w:rPr>
          <w:b/>
        </w:rPr>
        <w:t xml:space="preserve">то создать заявку пользователь не сможет.</w:t>
      </w:r>
      <w:r>
        <w:rPr>
          <w:b/>
        </w:rPr>
        <w:t xml:space="preserve"> В таком случае необходимо рекомендовать партнеру обратиться на </w:t>
      </w:r>
      <w:r>
        <w:rPr>
          <w:b/>
          <w:lang w:val="en-US"/>
        </w:rPr>
        <w:t xml:space="preserve">loyaltysupport</w:t>
      </w:r>
      <w:r>
        <w:rPr>
          <w:b/>
        </w:rPr>
        <w:t xml:space="preserve">@</w:t>
      </w:r>
      <w:r>
        <w:rPr>
          <w:b/>
          <w:lang w:val="en-US"/>
        </w:rPr>
        <w:t xml:space="preserve">nspk</w:t>
      </w:r>
      <w:r>
        <w:rPr>
          <w:b/>
        </w:rPr>
        <w:t xml:space="preserve">.</w:t>
      </w:r>
      <w:r>
        <w:rPr>
          <w:b/>
          <w:lang w:val="en-US"/>
        </w:rPr>
        <w:t xml:space="preserve">ru</w:t>
      </w:r>
      <w:r>
        <w:rPr>
          <w:b/>
        </w:rPr>
        <w:t xml:space="preserve">.</w:t>
      </w:r>
      <w:r>
        <w:rPr>
          <w:b/>
        </w:rPr>
      </w:r>
      <w:r>
        <w:rPr>
          <w:b/>
        </w:rPr>
      </w:r>
    </w:p>
    <w:p>
      <w:pPr>
        <w:spacing w:before="100" w:beforeAutospacing="1" w:after="100" w:afterAutospacing="1" w:line="276" w:lineRule="auto"/>
      </w:pPr>
      <w:r>
        <w:t xml:space="preserve">Далее на Шаге 1 необходимо заполнить данные об организации: </w:t>
      </w:r>
      <w:r/>
    </w:p>
    <w:p>
      <w:pPr>
        <w:pStyle w:val="855"/>
        <w:numPr>
          <w:ilvl w:val="0"/>
          <w:numId w:val="5"/>
        </w:numPr>
        <w:spacing w:before="100" w:beforeAutospacing="1" w:after="100" w:afterAutospacing="1" w:line="276" w:lineRule="auto"/>
      </w:pPr>
      <w:r>
        <w:t xml:space="preserve">ОГРН/ОГРНИП, Краткое и полное наименование организации, адрес местонахождения юр лица, </w:t>
      </w:r>
      <w:r>
        <w:rPr>
          <w:rFonts w:ascii="Segoe UI" w:hAnsi="Segoe UI" w:cs="Segoe UI"/>
          <w:color w:val="515051"/>
          <w:sz w:val="21"/>
          <w:szCs w:val="21"/>
        </w:rPr>
        <w:t xml:space="preserve">ФИО и должность уполномоченного лица (только для ЮЛ)</w:t>
      </w:r>
      <w:r>
        <w:t xml:space="preserve"> подтянутся автоматически.</w:t>
      </w:r>
      <w:r/>
    </w:p>
    <w:p>
      <w:pPr>
        <w:pStyle w:val="855"/>
        <w:numPr>
          <w:ilvl w:val="0"/>
          <w:numId w:val="5"/>
        </w:numPr>
        <w:spacing w:before="100" w:beforeAutospacing="1" w:after="100" w:afterAutospacing="1" w:line="276" w:lineRule="auto"/>
      </w:pPr>
      <w:r>
        <w:t xml:space="preserve">Заполнить:</w:t>
      </w:r>
      <w:r/>
    </w:p>
    <w:p>
      <w:pPr>
        <w:pStyle w:val="855"/>
        <w:numPr>
          <w:ilvl w:val="0"/>
          <w:numId w:val="6"/>
        </w:numPr>
        <w:spacing w:before="100" w:beforeAutospacing="1" w:after="100" w:afterAutospacing="1" w:line="276" w:lineRule="auto"/>
      </w:pPr>
      <w:r>
        <w:t xml:space="preserve">ФИО и должность уполномоченного лица (только для ИП)</w:t>
      </w:r>
      <w:r/>
    </w:p>
    <w:p>
      <w:pPr>
        <w:pStyle w:val="855"/>
        <w:numPr>
          <w:ilvl w:val="0"/>
          <w:numId w:val="6"/>
        </w:numPr>
        <w:spacing w:before="100" w:beforeAutospacing="1" w:after="100" w:afterAutospacing="1" w:line="276" w:lineRule="auto"/>
      </w:pPr>
      <w:r>
        <w:t xml:space="preserve">Основание полномочий</w:t>
      </w:r>
      <w:r/>
    </w:p>
    <w:p>
      <w:pPr>
        <w:pStyle w:val="855"/>
        <w:numPr>
          <w:ilvl w:val="0"/>
          <w:numId w:val="6"/>
        </w:numPr>
        <w:spacing w:before="100" w:beforeAutospacing="1" w:after="100" w:afterAutospacing="1" w:line="276" w:lineRule="auto"/>
      </w:pPr>
      <w:r>
        <w:t xml:space="preserve">Наименование бренда (указать название подключаемого нового/дополнительного бренда)</w:t>
      </w:r>
      <w:r/>
    </w:p>
    <w:p>
      <w:pPr>
        <w:pStyle w:val="855"/>
        <w:numPr>
          <w:ilvl w:val="0"/>
          <w:numId w:val="6"/>
        </w:numPr>
        <w:spacing w:before="100" w:beforeAutospacing="1" w:after="100" w:afterAutospacing="1" w:line="276" w:lineRule="auto"/>
      </w:pPr>
      <w:r>
        <w:t xml:space="preserve">Вид деятельности</w:t>
      </w:r>
      <w:r/>
    </w:p>
    <w:p>
      <w:pPr>
        <w:pStyle w:val="855"/>
        <w:numPr>
          <w:ilvl w:val="0"/>
          <w:numId w:val="5"/>
        </w:numPr>
        <w:spacing w:before="100" w:beforeAutospacing="1" w:after="100" w:afterAutospacing="1" w:line="276" w:lineRule="auto"/>
      </w:pPr>
      <w:r>
        <w:t xml:space="preserve">Банк – </w:t>
      </w:r>
      <w:r>
        <w:t xml:space="preserve">эквайрер</w:t>
      </w:r>
      <w:r>
        <w:t xml:space="preserve"> будет заполнен автоматически (указан тот банк, с которым ЮЛ зарегистрировано в лояльности).</w:t>
      </w:r>
      <w:r/>
    </w:p>
    <w:p>
      <w:pPr>
        <w:pStyle w:val="855"/>
        <w:numPr>
          <w:ilvl w:val="0"/>
          <w:numId w:val="5"/>
        </w:numPr>
        <w:spacing w:before="100" w:beforeAutospacing="1" w:after="100" w:afterAutospacing="1" w:line="276" w:lineRule="auto"/>
      </w:pPr>
      <w:r>
        <w:t xml:space="preserve">Если необходимо – можно загрузить дополнительный документ.</w:t>
      </w:r>
      <w:r/>
    </w:p>
    <w:p>
      <w:pPr>
        <w:spacing w:before="100" w:beforeAutospacing="1" w:after="100" w:afterAutospacing="1" w:line="276" w:lineRule="auto"/>
      </w:pPr>
      <w:r>
        <w:t xml:space="preserve">Далее можно сохранить черновик или нажать «Продолжить и перейти на следующий шаг».</w:t>
      </w:r>
      <w:r/>
    </w:p>
    <w:p>
      <w:pPr>
        <w:spacing w:before="100" w:beforeAutospacing="1" w:after="100" w:afterAutospacing="1" w:line="276" w:lineRule="auto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32095" cy="6618916"/>
                <wp:effectExtent l="0" t="0" r="1905" b="0"/>
                <wp:docPr id="67" name="Рисунок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5342838" cy="66322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6" o:spid="_x0000_s66" type="#_x0000_t75" style="width:419.85pt;height:521.17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spacing w:before="100" w:beforeAutospacing="1" w:after="100" w:afterAutospacing="1" w:line="276" w:lineRule="auto"/>
      </w:pPr>
      <w:r>
        <w:t xml:space="preserve">На Шаге 2 необходимо выбрать вид документа на РТЗ/ГП</w:t>
      </w:r>
      <w:r>
        <w:t xml:space="preserve"> </w:t>
      </w:r>
      <w:r>
        <w:t xml:space="preserve">для нового бренда</w:t>
      </w:r>
      <w:r/>
    </w:p>
    <w:p>
      <w:pPr>
        <w:spacing w:before="100" w:beforeAutospacing="1" w:after="100" w:afterAutospacing="1" w:line="276" w:lineRule="auto"/>
      </w:pPr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300470" cy="3069590"/>
                <wp:effectExtent l="0" t="0" r="5080" b="0"/>
                <wp:docPr id="68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6300470" cy="30695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7" o:spid="_x0000_s67" type="#_x0000_t75" style="width:496.10pt;height:241.70pt;mso-wrap-distance-left:0.00pt;mso-wrap-distance-top:0.00pt;mso-wrap-distance-right:0.00pt;mso-wrap-distance-bottom:0.00pt;" stroked="false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spacing w:before="100" w:beforeAutospacing="1" w:after="100" w:afterAutospacing="1" w:line="276" w:lineRule="auto"/>
      </w:pPr>
      <w:r>
        <w:t xml:space="preserve">На Шаге 3 загрузить товарные знаки/лого/графическое иозбражение:</w:t>
      </w:r>
      <w:r/>
    </w:p>
    <w:p>
      <w:pPr>
        <w:spacing w:before="100" w:beforeAutospacing="1" w:after="100" w:afterAutospacing="1" w:line="276" w:lineRule="auto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044261" cy="3509890"/>
                <wp:effectExtent l="0" t="0" r="0" b="0"/>
                <wp:docPr id="69" name="Рисунок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4048756" cy="35137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8" o:spid="_x0000_s68" type="#_x0000_t75" style="width:318.45pt;height:276.37pt;mso-wrap-distance-left:0.00pt;mso-wrap-distance-top:0.00pt;mso-wrap-distance-right:0.00pt;mso-wrap-distance-bottom:0.00pt;" stroked="false">
                <v:path textboxrect="0,0,0,0"/>
                <v:imagedata r:id="rId69" o:title=""/>
              </v:shape>
            </w:pict>
          </mc:Fallback>
        </mc:AlternateContent>
      </w:r>
      <w:r/>
    </w:p>
    <w:p>
      <w:pPr>
        <w:spacing w:before="100" w:beforeAutospacing="1" w:after="100" w:afterAutospacing="1" w:line="276" w:lineRule="auto"/>
      </w:pPr>
      <w:r>
        <w:t xml:space="preserve">Далее сформировать документ на РТЗ и отправить заявку на проверку</w:t>
      </w:r>
      <w:r/>
    </w:p>
    <w:p>
      <w:pPr>
        <w:spacing w:before="100" w:beforeAutospacing="1" w:after="100" w:afterAutospacing="1" w:line="276" w:lineRule="auto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00400" cy="1981200"/>
                <wp:effectExtent l="0" t="0" r="0" b="0"/>
                <wp:docPr id="70" name="Рисунок 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3200400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9" o:spid="_x0000_s69" type="#_x0000_t75" style="width:252.00pt;height:156.00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r/>
    </w:p>
    <w:p>
      <w:pPr>
        <w:spacing w:before="100" w:beforeAutospacing="1" w:after="100" w:afterAutospacing="1" w:line="276" w:lineRule="auto"/>
      </w:pPr>
      <w:r>
        <w:t xml:space="preserve">После финального согласования заявки бренд и ГМ будут созданы автоматически.</w:t>
      </w:r>
      <w:r/>
    </w:p>
    <w:p>
      <w:r>
        <w:t xml:space="preserve">Статус заявки можно просматривать в разделе «Мои заявки на подключение». Тип заявки – «Подключение нового бренда».</w:t>
      </w:r>
      <w:r/>
    </w:p>
    <w:p>
      <w:pPr>
        <w:rPr>
          <w:lang w:val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5980" cy="2392680"/>
                <wp:effectExtent l="0" t="0" r="7620" b="7620"/>
                <wp:docPr id="71" name="Рисунок 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5935980" cy="2392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0" o:spid="_x0000_s70" type="#_x0000_t75" style="width:467.40pt;height:188.40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r>
        <w:rPr>
          <w:lang w:val="en-US"/>
        </w:rPr>
      </w:r>
      <w:r>
        <w:rPr>
          <w:lang w:val="en-US"/>
        </w:rPr>
      </w:r>
    </w:p>
    <w:p>
      <w:r/>
      <w:r/>
    </w:p>
    <w:tbl>
      <w:tblPr>
        <w:tblStyle w:val="860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4762"/>
      </w:tblGrid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Статус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Расшифровка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Что делать дальше?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На проверке 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Заявка на проверке у юристов или у оператора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Ждать изменение статуса заявки. Обычно проверка занимает 2-3 рабочих дня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На доработку 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Юристы /модераторы оставили комментарий к заявке, который необходимо доработать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Посмотреть комментарий к заявке, внести необходимые изменения в заявку и снова отправить на проверку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Предварительно согласована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Заявка предварительно согласована юристами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Необходимо распечатать документ из заявки, подписать и загрузить скан в заявку, снова направить на согласование.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Согласована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Заявка полностью согласована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Направить оригинал в адрес НСПК, если документ не был подписан ЭЦП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  <w:tr>
        <w:tblPrEx/>
        <w:trPr/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Отклонена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1869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Заявка отклонена </w:t>
            </w:r>
            <w:r>
              <w:rPr>
                <w:i/>
              </w:rPr>
            </w:r>
            <w:r>
              <w:rPr>
                <w:i/>
              </w:rPr>
            </w:r>
          </w:p>
        </w:tc>
        <w:tc>
          <w:tcPr>
            <w:tcW w:w="4762" w:type="dxa"/>
            <w:textDirection w:val="lrTb"/>
            <w:noWrap w:val="false"/>
          </w:tcPr>
          <w:p>
            <w:pPr>
              <w:rPr>
                <w:i/>
              </w:rPr>
            </w:pPr>
            <w:r>
              <w:rPr>
                <w:i/>
              </w:rPr>
              <w:t xml:space="preserve">В рамках данной заявки уже ничего делать не требуется. Необходимо ознакомиться с </w:t>
            </w:r>
            <w:r>
              <w:rPr>
                <w:i/>
              </w:rPr>
              <w:t xml:space="preserve">комментарием и при необходимости создать новую заявку</w:t>
            </w:r>
            <w:r>
              <w:rPr>
                <w:i/>
              </w:rPr>
            </w:r>
            <w:r>
              <w:rPr>
                <w:i/>
              </w:rPr>
            </w:r>
          </w:p>
        </w:tc>
      </w:tr>
    </w:tbl>
    <w:p>
      <w:pPr>
        <w:spacing w:before="100" w:beforeAutospacing="1" w:after="100" w:afterAutospacing="1" w:line="276" w:lineRule="auto"/>
      </w:pPr>
      <w:r>
        <w:t xml:space="preserve">Автоматически созданные бренды и ГМ пользователь ТСП может посмотреть в разделе «Профиль». </w:t>
      </w:r>
      <w:r/>
    </w:p>
    <w:p>
      <w:pPr>
        <w:pStyle w:val="843"/>
      </w:pPr>
      <w:r/>
      <w:bookmarkStart w:id="41" w:name="_Toc10"/>
      <w:r>
        <w:t xml:space="preserve">Заявка на подключение доп. </w:t>
      </w:r>
      <w:r>
        <w:t xml:space="preserve">эквайрера</w:t>
      </w:r>
      <w:bookmarkEnd w:id="41"/>
      <w:r/>
      <w:r/>
    </w:p>
    <w:p>
      <w:r>
        <w:t xml:space="preserve">Если партнеру необходимо подключиться с дополнительным банком – </w:t>
      </w:r>
      <w:r>
        <w:t xml:space="preserve">эквайрером</w:t>
      </w:r>
      <w:r>
        <w:t xml:space="preserve">, в меню «Заявки на подключение» необходимо выбрать «Новый банк-</w:t>
      </w:r>
      <w:r>
        <w:t xml:space="preserve">эквайрер</w:t>
      </w:r>
      <w:r>
        <w:t xml:space="preserve">» (доступно как для подключения по Мир, так и по СБП).</w:t>
      </w:r>
      <w:r/>
    </w:p>
    <w:p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1966762"/>
                <wp:effectExtent l="0" t="0" r="0" b="0"/>
                <wp:docPr id="7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1429652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5940423" cy="19667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1" o:spid="_x0000_s71" type="#_x0000_t75" style="width:467.75pt;height:154.86pt;mso-wrap-distance-left:0.00pt;mso-wrap-distance-top:0.00pt;mso-wrap-distance-right:0.00pt;mso-wrap-distance-bottom:0.00pt;" stroked="false">
                <v:path textboxrect="0,0,0,0"/>
                <v:imagedata r:id="rId72" o:title=""/>
              </v:shape>
            </w:pict>
          </mc:Fallback>
        </mc:AlternateContent>
      </w:r>
      <w:r/>
    </w:p>
    <w:p>
      <w:r>
        <w:t xml:space="preserve">Система может автоматически определить через владение группами магазинов, наименование </w:t>
      </w:r>
      <w:r>
        <w:t xml:space="preserve">юридического лица (далее – ЮЛ), от лица которого выступает пользователь. </w:t>
      </w:r>
      <w:r/>
    </w:p>
    <w:p>
      <w:r>
        <w:t xml:space="preserve">Если у пользователя только одно ЮЛ – поля заявки заполнятся автоматически;</w:t>
      </w:r>
      <w:r/>
    </w:p>
    <w:p>
      <w:r>
        <w:t xml:space="preserve">Если ЮЛ несколько - система выведет пользователю поле с выбором наименование ЮЛ, от которого будет оформлена заявка: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293110"/>
                <wp:effectExtent l="0" t="0" r="3175" b="2540"/>
                <wp:docPr id="73" name="Рисунок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3"/>
                        <a:stretch/>
                      </pic:blipFill>
                      <pic:spPr bwMode="auto">
                        <a:xfrm>
                          <a:off x="0" y="0"/>
                          <a:ext cx="5940425" cy="32931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2" o:spid="_x0000_s72" type="#_x0000_t75" style="width:467.75pt;height:259.30pt;mso-wrap-distance-left:0.00pt;mso-wrap-distance-top:0.00pt;mso-wrap-distance-right:0.00pt;mso-wrap-distance-bottom:0.00pt;" stroked="false">
                <v:path textboxrect="0,0,0,0"/>
                <v:imagedata r:id="rId73" o:title=""/>
              </v:shape>
            </w:pict>
          </mc:Fallback>
        </mc:AlternateContent>
      </w:r>
      <w:r/>
    </w:p>
    <w:p>
      <w:r>
        <w:t xml:space="preserve">После выбора наименования ЮЛ, система автоматически заполнит ИНН данного ЮЛ в поле «ИНН». </w:t>
      </w:r>
      <w:r/>
    </w:p>
    <w:p>
      <w:r>
        <w:t xml:space="preserve">Если система не смогла определить ЮЛ, то пользователь самостоятельно должен ввести ИНН.</w:t>
      </w:r>
      <w:r/>
    </w:p>
    <w:p>
      <w:r>
        <w:t xml:space="preserve">Остальные данные подтянутся автоматически из СПАРК.</w:t>
      </w:r>
      <w:r/>
    </w:p>
    <w:p>
      <w:pPr>
        <w:rPr>
          <w:i/>
        </w:rPr>
      </w:pPr>
      <w:r>
        <w:rPr>
          <w:i/>
        </w:rPr>
        <w:t xml:space="preserve">Дополнительно: </w:t>
      </w:r>
      <w:r>
        <w:rPr>
          <w:i/>
        </w:rPr>
      </w:r>
      <w:r>
        <w:rPr>
          <w:i/>
        </w:rPr>
      </w:r>
    </w:p>
    <w:p>
      <w:pPr>
        <w:pStyle w:val="855"/>
        <w:numPr>
          <w:ilvl w:val="0"/>
          <w:numId w:val="7"/>
        </w:numPr>
        <w:rPr>
          <w:i/>
        </w:rPr>
      </w:pPr>
      <w:r>
        <w:rPr>
          <w:i/>
        </w:rPr>
        <w:t xml:space="preserve">Возможен вариант, когда система не находит заявку на подключение в ЛКМ по ИНН, который ввел пользователь. В таком случае пользователь получит сообщение: «Данные об организации не найдены. Проверьте корректность ИНН или свяжитесь со службой поддержки: </w:t>
      </w:r>
      <w:hyperlink r:id="rId74" w:tooltip="mailto:loyaltysupport@nspk.ru" w:history="1">
        <w:r>
          <w:rPr>
            <w:rStyle w:val="848"/>
            <w:i/>
          </w:rPr>
          <w:t xml:space="preserve">loyaltysupport@nspk.ru</w:t>
        </w:r>
      </w:hyperlink>
      <w:r>
        <w:rPr>
          <w:i/>
        </w:rPr>
        <w:t xml:space="preserve">."</w:t>
      </w:r>
      <w:r>
        <w:rPr>
          <w:i/>
        </w:rPr>
      </w:r>
      <w:r>
        <w:rPr>
          <w:i/>
        </w:rPr>
      </w:r>
    </w:p>
    <w:p>
      <w:pPr>
        <w:pStyle w:val="855"/>
        <w:numPr>
          <w:ilvl w:val="0"/>
          <w:numId w:val="7"/>
        </w:numPr>
        <w:rPr>
          <w:i/>
        </w:rPr>
      </w:pPr>
      <w:r>
        <w:rPr>
          <w:i/>
        </w:rPr>
        <w:t xml:space="preserve">Если ранее пользователь уже подавал заявку на подключение доп</w:t>
      </w:r>
      <w:r>
        <w:rPr>
          <w:i/>
        </w:rPr>
        <w:t xml:space="preserve">.</w:t>
      </w:r>
      <w:r>
        <w:rPr>
          <w:i/>
        </w:rPr>
        <w:t xml:space="preserve"> </w:t>
      </w:r>
      <w:r>
        <w:rPr>
          <w:i/>
        </w:rPr>
        <w:t xml:space="preserve">эквайрера</w:t>
      </w:r>
      <w:r>
        <w:rPr>
          <w:i/>
        </w:rPr>
        <w:t xml:space="preserve"> – при попытке формировать еще одну заявку – получит сообщение с ошибкой, что заявка уже создана.</w:t>
      </w:r>
      <w:r>
        <w:rPr>
          <w:i/>
        </w:rPr>
      </w:r>
      <w:r>
        <w:rPr>
          <w:i/>
        </w:rPr>
      </w:r>
    </w:p>
    <w:p>
      <w:pPr>
        <w:rPr>
          <w:lang w:val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829175" cy="4600575"/>
                <wp:effectExtent l="0" t="0" r="0" b="0"/>
                <wp:docPr id="7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8747254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5"/>
                        <a:stretch/>
                      </pic:blipFill>
                      <pic:spPr bwMode="auto">
                        <a:xfrm>
                          <a:off x="0" y="0"/>
                          <a:ext cx="4829175" cy="4600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3" o:spid="_x0000_s73" type="#_x0000_t75" style="width:380.25pt;height:362.25pt;mso-wrap-distance-left:0.00pt;mso-wrap-distance-top:0.00pt;mso-wrap-distance-right:0.00pt;mso-wrap-distance-bottom:0.00pt;" stroked="false">
                <v:path textboxrect="0,0,0,0"/>
                <v:imagedata r:id="rId75" o:title=""/>
              </v:shape>
            </w:pict>
          </mc:Fallback>
        </mc:AlternateContent>
      </w:r>
      <w:r>
        <w:rPr>
          <w:lang w:val="en-US"/>
        </w:rPr>
      </w:r>
      <w:r>
        <w:rPr>
          <w:lang w:val="en-US"/>
        </w:rPr>
      </w:r>
    </w:p>
    <w:p>
      <w:r>
        <w:rPr>
          <w:highlight w:val="none"/>
        </w:rPr>
        <w:t xml:space="preserve">Далее выбрать «Типы акций для запуска». Если ранее партнер не был подключен, например, по СБП, то он не сможет выбрать СБП.</w:t>
      </w:r>
      <w:r>
        <w:rPr>
          <w:highlight w:val="none"/>
        </w:rPr>
      </w:r>
      <w:r/>
    </w:p>
    <w:p>
      <w:pPr>
        <w:rPr>
          <w:highlight w:val="none"/>
        </w:rPr>
      </w:pPr>
      <w:r>
        <w:t xml:space="preserve">В разделе «Информация о бренде» будут указаны бренд (несколько брендов), которыми владеет пользователь. Ввести самостоятельно бренд нельзя. Заявку на дополнительный банк-</w:t>
      </w:r>
      <w:r>
        <w:t xml:space="preserve">эквайрер</w:t>
      </w:r>
      <w:r>
        <w:t xml:space="preserve"> можно подать только по уже подключенному бренду.</w:t>
      </w:r>
      <w:r>
        <w:rPr>
          <w:highlight w:val="none"/>
        </w:rPr>
      </w:r>
      <w:r>
        <w:rPr>
          <w:highlight w:val="none"/>
        </w:rPr>
      </w:r>
    </w:p>
    <w:p>
      <w:r>
        <w:t xml:space="preserve">ТСП может указать один бренд, или несколько брендов, у которых будет действовать новый банк-</w:t>
      </w:r>
      <w:r>
        <w:t xml:space="preserve">эквайрер</w:t>
      </w:r>
      <w:r>
        <w:t xml:space="preserve">. </w:t>
      </w:r>
      <w:r/>
    </w:p>
    <w:p>
      <w:pPr>
        <w:rPr>
          <w:b/>
        </w:rPr>
      </w:pPr>
      <w:r/>
      <w:bookmarkStart w:id="27" w:name="_Hlk154322940"/>
      <w:r>
        <w:rPr>
          <w:b/>
        </w:rPr>
        <w:t xml:space="preserve">! Если у ТСП нет ни одной согласованной банком заявки, подать заявку на </w:t>
      </w:r>
      <w:r>
        <w:rPr>
          <w:b/>
        </w:rPr>
        <w:t xml:space="preserve">доп</w:t>
      </w:r>
      <w:r>
        <w:rPr>
          <w:b/>
        </w:rPr>
        <w:t xml:space="preserve"> </w:t>
      </w:r>
      <w:r>
        <w:rPr>
          <w:b/>
        </w:rPr>
        <w:t xml:space="preserve">эквайрера</w:t>
      </w:r>
      <w:r>
        <w:rPr>
          <w:b/>
        </w:rPr>
        <w:t xml:space="preserve"> он не сможет, так как не подтянется бренд. В этом случае нужно заводить еще одну заявку на подключение.</w:t>
      </w:r>
      <w:bookmarkEnd w:id="27"/>
      <w:r>
        <w:rPr>
          <w:b/>
        </w:rPr>
      </w:r>
      <w:r>
        <w:rPr>
          <w:b/>
        </w:rPr>
      </w:r>
    </w:p>
    <w:p>
      <w:r>
        <w:t xml:space="preserve">Также необходимо заполнить сведения и контактных лицах (минимум 2, при необходимости можно добавить дополнительные контактные лица).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695700" cy="2132743"/>
                <wp:effectExtent l="0" t="0" r="0" b="1270"/>
                <wp:docPr id="75" name="Рисунок 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6"/>
                        <a:stretch/>
                      </pic:blipFill>
                      <pic:spPr bwMode="auto">
                        <a:xfrm>
                          <a:off x="0" y="0"/>
                          <a:ext cx="3711182" cy="21416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4" o:spid="_x0000_s74" type="#_x0000_t75" style="width:291.00pt;height:167.93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r/>
    </w:p>
    <w:p>
      <w:r/>
      <w:r/>
    </w:p>
    <w:p>
      <w:r>
        <w:t xml:space="preserve">Если партнер попробует выбрать банк, с которым он уже подключен к ПЛ, появится ошибка.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19575" cy="942975"/>
                <wp:effectExtent l="0" t="0" r="9525" b="9525"/>
                <wp:docPr id="76" name="Рисунок 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7"/>
                        <a:stretch/>
                      </pic:blipFill>
                      <pic:spPr bwMode="auto">
                        <a:xfrm>
                          <a:off x="0" y="0"/>
                          <a:ext cx="4219575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5" o:spid="_x0000_s75" type="#_x0000_t75" style="width:332.25pt;height:74.25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/>
    </w:p>
    <w:p>
      <w:r/>
      <w:r/>
    </w:p>
    <w:p>
      <w:r>
        <w:t xml:space="preserve">Необходимо выбрать новый банк-</w:t>
      </w:r>
      <w:r>
        <w:t xml:space="preserve">эквайрер</w:t>
      </w:r>
      <w:r>
        <w:t xml:space="preserve"> и направить заявку на согласование или сохранить черновик.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11850" cy="1670050"/>
                <wp:effectExtent l="0" t="0" r="0" b="6350"/>
                <wp:docPr id="77" name="Рисунок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8"/>
                        <a:stretch/>
                      </pic:blipFill>
                      <pic:spPr bwMode="auto">
                        <a:xfrm>
                          <a:off x="0" y="0"/>
                          <a:ext cx="5911850" cy="167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6" o:spid="_x0000_s76" type="#_x0000_t75" style="width:465.50pt;height:131.50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/>
    </w:p>
    <w:p>
      <w:r>
        <w:t xml:space="preserve">Все заявки пользователей со статусом «Черновик» автоматически удаляются системой </w:t>
      </w:r>
      <w:r>
        <w:t xml:space="preserve">90 дней с последней даты сохранения заявки в статусе «Черновик».</w:t>
      </w:r>
      <w:r/>
    </w:p>
    <w:p>
      <w:r>
        <w:t xml:space="preserve">Статус заявки можно просматривать в разделе «Мои заявки на подключение».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7250" cy="1676400"/>
                <wp:effectExtent l="0" t="0" r="6350" b="0"/>
                <wp:docPr id="78" name="Рисунок 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9"/>
                        <a:stretch/>
                      </pic:blipFill>
                      <pic:spPr bwMode="auto">
                        <a:xfrm>
                          <a:off x="0" y="0"/>
                          <a:ext cx="5937250" cy="167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7" o:spid="_x0000_s77" type="#_x0000_t75" style="width:467.50pt;height:132.00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/>
    </w:p>
    <w:p>
      <w:pPr>
        <w:spacing w:before="100" w:beforeAutospacing="1" w:after="100" w:afterAutospacing="1" w:line="276" w:lineRule="auto"/>
      </w:pPr>
      <w:r/>
      <w:r/>
    </w:p>
    <w:p>
      <w:pPr>
        <w:pStyle w:val="844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2" w:name="_Toc11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Запуск акции</w:t>
      </w:r>
      <w:bookmarkEnd w:id="42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В меню «Запуск акции» можно сделать заявку на расчет бизнес-кейса, Расчет Целевой аудитории с дальнейшим запуском акции на нее и создать заявку на акцию.</w:t>
      </w:r>
      <w:r/>
    </w:p>
    <w:p>
      <w:pPr>
        <w:rPr>
          <w:lang w:val="en-US"/>
        </w:rPr>
      </w:pPr>
      <w:r>
        <w:rPr>
          <w:lang w:val="en-US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272460"/>
                <wp:effectExtent l="0" t="0" r="0" b="0"/>
                <wp:docPr id="7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019443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0"/>
                        <a:stretch/>
                      </pic:blipFill>
                      <pic:spPr bwMode="auto">
                        <a:xfrm>
                          <a:off x="0" y="0"/>
                          <a:ext cx="5940424" cy="22724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8" o:spid="_x0000_s78" type="#_x0000_t75" style="width:467.75pt;height:178.93pt;mso-wrap-distance-left:0.00pt;mso-wrap-distance-top:0.00pt;mso-wrap-distance-right:0.00pt;mso-wrap-distance-bottom:0.00pt;" stroked="false">
                <v:path textboxrect="0,0,0,0"/>
                <v:imagedata r:id="rId80" o:title=""/>
              </v:shape>
            </w:pict>
          </mc:Fallback>
        </mc:AlternateConten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3" w:name="_Toc12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Создать заявку на акцию</w:t>
      </w:r>
      <w:bookmarkEnd w:id="43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Для того, чтобы подать заявку</w:t>
      </w:r>
      <w:r>
        <w:t xml:space="preserve"> на запуск акции по картам «Мир» или СБП, необходимо выбрать в меню «Создать заявку на акцию» и заполнить форму.</w:t>
      </w:r>
      <w:r/>
    </w:p>
    <w:p>
      <w:pPr>
        <w:pStyle w:val="855"/>
        <w:numPr>
          <w:ilvl w:val="0"/>
          <w:numId w:val="8"/>
        </w:numPr>
      </w:pPr>
      <w:r>
        <w:t xml:space="preserve">Выбрать механику акции, кликнув на нее:</w:t>
      </w:r>
      <w:r/>
    </w:p>
    <w:p>
      <w:pPr>
        <w:ind w:left="36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54990" cy="4158155"/>
                <wp:effectExtent l="0" t="0" r="0" b="0"/>
                <wp:docPr id="80" name="Рисунок 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1"/>
                        <a:stretch/>
                      </pic:blipFill>
                      <pic:spPr bwMode="auto">
                        <a:xfrm flipH="0" flipV="0">
                          <a:off x="0" y="0"/>
                          <a:ext cx="5454990" cy="415815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9" o:spid="_x0000_s79" type="#_x0000_t75" style="width:429.53pt;height:327.41pt;mso-wrap-distance-left:0.00pt;mso-wrap-distance-top:0.00pt;mso-wrap-distance-right:0.00pt;mso-wrap-distance-bottom:0.00pt;" stroked="false">
                <v:path textboxrect="0,0,0,0"/>
                <v:imagedata r:id="rId81" o:title=""/>
              </v:shape>
            </w:pict>
          </mc:Fallback>
        </mc:AlternateContent>
      </w:r>
      <w:r/>
    </w:p>
    <w:p>
      <w:pPr>
        <w:pStyle w:val="855"/>
        <w:numPr>
          <w:ilvl w:val="0"/>
          <w:numId w:val="8"/>
        </w:numPr>
      </w:pPr>
      <w:r>
        <w:t xml:space="preserve">После выбора механики заполнить условия акции. В зависимости от выбранной механики состав полей может быть разным. Необходимо заполнить все обязательные поля.</w:t>
      </w:r>
      <w:r/>
    </w:p>
    <w:p>
      <w:pPr>
        <w:rPr>
          <w:highlight w:val="none"/>
        </w:rPr>
      </w:pPr>
      <w:r>
        <w:rPr>
          <w:b w:val="0"/>
          <w:bCs w:val="0"/>
          <w:color w:val="000000" w:themeColor="text1"/>
        </w:rPr>
        <w:t xml:space="preserve">Для начала необходимо выбрать тип акци</w:t>
      </w:r>
      <w:r>
        <w:rPr>
          <w:b w:val="0"/>
          <w:bCs w:val="0"/>
        </w:rPr>
        <w:t xml:space="preserve">и. Если ТСП подключено только на картах «Мир» или только на «СБП» выбор будет недоступен. Поле будет заполнено автоматически.</w:t>
      </w:r>
      <w:r>
        <w:t xml:space="preserve"> Если нет, необходимо выбрать нужный тип запуска акций.</w: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933825" cy="1076325"/>
                <wp:effectExtent l="0" t="0" r="0" b="0"/>
                <wp:docPr id="8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4842832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2"/>
                        <a:stretch/>
                      </pic:blipFill>
                      <pic:spPr bwMode="auto">
                        <a:xfrm>
                          <a:off x="0" y="0"/>
                          <a:ext cx="3933823" cy="10763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0" o:spid="_x0000_s80" type="#_x0000_t75" style="width:309.75pt;height:84.75pt;mso-wrap-distance-left:0.00pt;mso-wrap-distance-top:0.00pt;mso-wrap-distance-right:0.00pt;mso-wrap-distance-bottom:0.00pt;" stroked="false">
                <v:path textboxrect="0,0,0,0"/>
                <v:imagedata r:id="rId82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r>
        <w:t xml:space="preserve">Если у ЮЛ подключено несколько брендов, необходимо выбрать бренд, под которым будет проводиться акция. Если бренд только один – поле будет заполнено автоматически.</w:t>
      </w:r>
      <w:r/>
    </w:p>
    <w:p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048125" cy="371475"/>
                <wp:effectExtent l="0" t="0" r="9525" b="9525"/>
                <wp:docPr id="82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92996419" name="Рисунок 1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3"/>
                        <a:stretch/>
                      </pic:blipFill>
                      <pic:spPr bwMode="auto">
                        <a:xfrm>
                          <a:off x="0" y="0"/>
                          <a:ext cx="4048124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miter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1" o:spid="_x0000_s81" type="#_x0000_t75" style="width:318.75pt;height:29.25pt;mso-wrap-distance-left:0.00pt;mso-wrap-distance-top:0.00pt;mso-wrap-distance-right:0.00pt;mso-wrap-distance-bottom:0.00pt;" stroked="f">
                <v:path textboxrect="0,0,0,0"/>
                <v:imagedata r:id="rId83" o:title=""/>
              </v:shape>
            </w:pict>
          </mc:Fallback>
        </mc:AlternateContent>
      </w:r>
      <w:r/>
    </w:p>
    <w:p>
      <w:r>
        <w:t xml:space="preserve">Выбрать группу магазинов, в которых будет проводиться акция (если поле не заполнено автоматически): 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686300" cy="200025"/>
                <wp:effectExtent l="0" t="0" r="0" b="9525"/>
                <wp:docPr id="83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14247984" name="Рисунок 1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4"/>
                        <a:stretch/>
                      </pic:blipFill>
                      <pic:spPr bwMode="auto">
                        <a:xfrm>
                          <a:off x="0" y="0"/>
                          <a:ext cx="46863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2" o:spid="_x0000_s82" type="#_x0000_t75" style="width:369.00pt;height:15.75pt;mso-wrap-distance-left:0.00pt;mso-wrap-distance-top:0.00pt;mso-wrap-distance-right:0.00pt;mso-wrap-distance-bottom:0.00pt;" stroked="f">
                <v:path textboxrect="0,0,0,0"/>
                <v:imagedata r:id="rId84" o:title=""/>
              </v:shape>
            </w:pict>
          </mc:Fallback>
        </mc:AlternateContent>
      </w:r>
      <w:r/>
    </w:p>
    <w:p>
      <w:r/>
      <w:r/>
    </w:p>
    <w:p>
      <w:r>
        <w:t xml:space="preserve">Указать дату начала и дату окончания акции:</w:t>
      </w:r>
      <w:r/>
    </w:p>
    <w:p>
      <w:pPr>
        <w:rPr>
          <w:color w:val="808080" w:themeColor="background1" w:themeShade="80"/>
          <w:sz w:val="20"/>
          <w:szCs w:val="20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856808" cy="520700"/>
                <wp:effectExtent l="0" t="0" r="0" b="0"/>
                <wp:docPr id="84" name="Рисунок 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5"/>
                        <a:stretch/>
                      </pic:blipFill>
                      <pic:spPr bwMode="auto">
                        <a:xfrm>
                          <a:off x="0" y="0"/>
                          <a:ext cx="3866402" cy="5219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3" o:spid="_x0000_s83" type="#_x0000_t75" style="width:303.69pt;height:41.00pt;mso-wrap-distance-left:0.00pt;mso-wrap-distance-top:0.00pt;mso-wrap-distance-right:0.00pt;mso-wrap-distance-bottom:0.00pt;" stroked="false">
                <v:path textboxrect="0,0,0,0"/>
                <v:imagedata r:id="rId85" o:title=""/>
              </v:shape>
            </w:pict>
          </mc:Fallback>
        </mc:AlternateContent>
      </w:r>
      <w:r>
        <w:rPr>
          <w:color w:val="808080" w:themeColor="background1" w:themeShade="80"/>
          <w:sz w:val="20"/>
          <w:szCs w:val="20"/>
        </w:rPr>
      </w:r>
      <w:r>
        <w:rPr>
          <w:color w:val="808080" w:themeColor="background1" w:themeShade="80"/>
          <w:sz w:val="20"/>
          <w:szCs w:val="20"/>
        </w:rPr>
      </w:r>
    </w:p>
    <w:p>
      <w:pPr>
        <w:rPr>
          <w:color w:val="808080" w:themeColor="background1" w:themeShade="80"/>
          <w:sz w:val="20"/>
          <w:szCs w:val="20"/>
          <w:u w:val="single"/>
        </w:rPr>
      </w:pPr>
      <w:r>
        <w:rPr>
          <w:color w:val="808080" w:themeColor="background1" w:themeShade="80"/>
          <w:sz w:val="20"/>
          <w:szCs w:val="20"/>
          <w:u w:val="single"/>
        </w:rPr>
        <w:t xml:space="preserve">Обращаем внимание, что минимальная продолжительность акции — 30 дней.</w:t>
      </w:r>
      <w:r>
        <w:rPr>
          <w:color w:val="808080" w:themeColor="background1" w:themeShade="80"/>
          <w:sz w:val="20"/>
          <w:szCs w:val="20"/>
          <w:u w:val="single"/>
        </w:rPr>
      </w:r>
      <w:r>
        <w:rPr>
          <w:color w:val="808080" w:themeColor="background1" w:themeShade="80"/>
          <w:sz w:val="20"/>
          <w:szCs w:val="20"/>
          <w:u w:val="single"/>
        </w:rPr>
      </w:r>
    </w:p>
    <w:p>
      <w:r>
        <w:t xml:space="preserve">Выбрать одно из значения типа расчета </w:t>
      </w:r>
      <w:r>
        <w:t xml:space="preserve">кешбэка</w:t>
      </w:r>
      <w:r>
        <w:t xml:space="preserve">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52900" cy="475885"/>
                <wp:effectExtent l="0" t="0" r="0" b="635"/>
                <wp:docPr id="85" name="Рисунок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6"/>
                        <a:stretch/>
                      </pic:blipFill>
                      <pic:spPr bwMode="auto">
                        <a:xfrm>
                          <a:off x="0" y="0"/>
                          <a:ext cx="4212755" cy="4827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4" o:spid="_x0000_s84" type="#_x0000_t75" style="width:327.00pt;height:37.47pt;mso-wrap-distance-left:0.00pt;mso-wrap-distance-top:0.00pt;mso-wrap-distance-right:0.00pt;mso-wrap-distance-bottom:0.00pt;" stroked="false">
                <v:path textboxrect="0,0,0,0"/>
                <v:imagedata r:id="rId86" o:title=""/>
              </v:shape>
            </w:pict>
          </mc:Fallback>
        </mc:AlternateContent>
      </w:r>
      <w:r/>
    </w:p>
    <w:p>
      <w:r>
        <w:t xml:space="preserve">Если был выбран тип расчета в процентах от суммы покупки, то в следующем поле необходимо указать размер </w:t>
      </w:r>
      <w:r>
        <w:t xml:space="preserve">кешбэка</w:t>
      </w:r>
      <w:r>
        <w:t xml:space="preserve">: 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79755" cy="2593435"/>
                <wp:effectExtent l="0" t="0" r="0" b="0"/>
                <wp:docPr id="8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820043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7"/>
                        <a:stretch/>
                      </pic:blipFill>
                      <pic:spPr bwMode="auto">
                        <a:xfrm flipH="0" flipV="0">
                          <a:off x="0" y="0"/>
                          <a:ext cx="4579755" cy="25934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5" o:spid="_x0000_s85" type="#_x0000_t75" style="width:360.61pt;height:204.21pt;mso-wrap-distance-left:0.00pt;mso-wrap-distance-top:0.00pt;mso-wrap-distance-right:0.00pt;mso-wrap-distance-bottom:0.00pt;" stroked="false">
                <v:path textboxrect="0,0,0,0"/>
                <v:imagedata r:id="rId87" o:title=""/>
              </v:shape>
            </w:pict>
          </mc:Fallback>
        </mc:AlternateContent>
      </w:r>
      <w:r/>
    </w:p>
    <w:p>
      <w:pPr>
        <w:ind w:left="72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Можно установить свой процент кешбэка, кликнув на «Другой %». </w:t>
      </w:r>
      <w:r/>
    </w:p>
    <w:p>
      <w:pPr>
        <w:ind w:left="72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62450" cy="742950"/>
                <wp:effectExtent l="0" t="0" r="0" b="0"/>
                <wp:docPr id="8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843290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8"/>
                        <a:stretch/>
                      </pic:blipFill>
                      <pic:spPr bwMode="auto">
                        <a:xfrm>
                          <a:off x="0" y="0"/>
                          <a:ext cx="4362449" cy="7429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6" o:spid="_x0000_s86" type="#_x0000_t75" style="width:343.50pt;height:58.50pt;mso-wrap-distance-left:0.00pt;mso-wrap-distance-top:0.00pt;mso-wrap-distance-right:0.00pt;mso-wrap-distance-bottom:0.00pt;" stroked="false">
                <v:path textboxrect="0,0,0,0"/>
                <v:imagedata r:id="rId88" o:title=""/>
              </v:shape>
            </w:pict>
          </mc:Fallback>
        </mc:AlternateContent>
      </w:r>
      <w:r/>
    </w:p>
    <w:p>
      <w:pPr>
        <w:ind w:left="72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При этом система проверят по виду деятельности минимальный размер кешбэка для этого вида деятельности по Тарифам ПЛ.</w:t>
      </w:r>
      <w:r/>
    </w:p>
    <w:p>
      <w:pPr>
        <w:ind w:left="720" w:right="0" w:firstLine="0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alibri" w:hAnsi="Calibri" w:eastAsia="Calibri" w:cs="Calibri"/>
          <w:color w:val="000000"/>
          <w:sz w:val="22"/>
        </w:rPr>
        <w:t xml:space="preserve">Система не позволит внести размер кешбэка ниже установленного тарифами. </w:t>
      </w:r>
      <w:r/>
    </w:p>
    <w:p>
      <w:pPr>
        <w:rPr>
          <w:highlight w:val="none"/>
        </w:rPr>
      </w:pPr>
      <w:r>
        <w:t xml:space="preserve">Если был выбран тип расчета в виде фиксированной суммы в рублях, то в следующем поле указать сумму </w:t>
      </w:r>
      <w:r>
        <w:t xml:space="preserve">кешбэка</w:t>
      </w:r>
      <w:r>
        <w:t xml:space="preserve">: </w:t>
      </w:r>
      <w:r>
        <w:rPr>
          <w:highlight w:val="none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155950" cy="511776"/>
                <wp:effectExtent l="0" t="0" r="0" b="3175"/>
                <wp:docPr id="88" name="Рисунок 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9"/>
                        <a:stretch/>
                      </pic:blipFill>
                      <pic:spPr bwMode="auto">
                        <a:xfrm>
                          <a:off x="0" y="0"/>
                          <a:ext cx="3186387" cy="5167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7" o:spid="_x0000_s87" type="#_x0000_t75" style="width:248.50pt;height:40.30pt;mso-wrap-distance-left:0.00pt;mso-wrap-distance-top:0.00pt;mso-wrap-distance-right:0.00pt;mso-wrap-distance-bottom:0.00pt;" stroked="false">
                <v:path textboxrect="0,0,0,0"/>
                <v:imagedata r:id="rId89" o:title=""/>
              </v:shape>
            </w:pict>
          </mc:Fallback>
        </mc:AlternateContent>
      </w:r>
      <w:r/>
    </w:p>
    <w:p>
      <w:r>
        <w:t xml:space="preserve">Выбрать одно из значений ограничения на сумму </w:t>
      </w:r>
      <w:r>
        <w:t xml:space="preserve">кешбэка</w:t>
      </w:r>
      <w:r>
        <w:t xml:space="preserve">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835740" cy="981089"/>
                <wp:effectExtent l="0" t="0" r="0" b="0"/>
                <wp:docPr id="89" name="Рисунок 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0"/>
                        <a:stretch/>
                      </pic:blipFill>
                      <pic:spPr bwMode="auto">
                        <a:xfrm flipH="0" flipV="0">
                          <a:off x="0" y="0"/>
                          <a:ext cx="3835739" cy="9810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8" o:spid="_x0000_s88" type="#_x0000_t75" style="width:302.03pt;height:77.25pt;mso-wrap-distance-left:0.00pt;mso-wrap-distance-top:0.00pt;mso-wrap-distance-right:0.00pt;mso-wrap-distance-bottom:0.00pt;" stroked="false">
                <v:path textboxrect="0,0,0,0"/>
                <v:imagedata r:id="rId90" o:title=""/>
              </v:shape>
            </w:pict>
          </mc:Fallback>
        </mc:AlternateContent>
      </w:r>
      <w:r/>
    </w:p>
    <w:p>
      <w:r>
        <w:t xml:space="preserve">Выбрать категорию, в которой ваша акция будет размещена на сайте </w:t>
      </w:r>
      <w:hyperlink r:id="rId91" w:tooltip="https://vamprivet.ru/promo/" w:history="1">
        <w:r>
          <w:rPr>
            <w:rStyle w:val="848"/>
          </w:rPr>
          <w:t xml:space="preserve">https://vamprivet.ru/promo/</w:t>
        </w:r>
      </w:hyperlink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79997" cy="622300"/>
                <wp:effectExtent l="0" t="0" r="0" b="6350"/>
                <wp:docPr id="90" name="Рисунок 1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2"/>
                        <a:stretch/>
                      </pic:blipFill>
                      <pic:spPr bwMode="auto">
                        <a:xfrm>
                          <a:off x="0" y="0"/>
                          <a:ext cx="4997479" cy="6244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9" o:spid="_x0000_s89" type="#_x0000_t75" style="width:392.13pt;height:49.00pt;mso-wrap-distance-left:0.00pt;mso-wrap-distance-top:0.00pt;mso-wrap-distance-right:0.00pt;mso-wrap-distance-bottom:0.00pt;" stroked="false">
                <v:path textboxrect="0,0,0,0"/>
                <v:imagedata r:id="rId92" o:title=""/>
              </v:shape>
            </w:pict>
          </mc:Fallback>
        </mc:AlternateContent>
      </w:r>
      <w:r/>
    </w:p>
    <w:p>
      <w:pPr>
        <w:rPr>
          <w:color w:val="808080" w:themeColor="background1" w:themeShade="80"/>
          <w:sz w:val="20"/>
          <w:szCs w:val="20"/>
          <w:u w:val="single"/>
        </w:rPr>
      </w:pPr>
      <w:r>
        <w:rPr>
          <w:color w:val="808080" w:themeColor="background1" w:themeShade="80"/>
          <w:sz w:val="20"/>
          <w:szCs w:val="20"/>
          <w:u w:val="single"/>
        </w:rPr>
        <w:t xml:space="preserve">Обращаем внимание, что вышеуказанных выбор категории доступен не для всех видов деятельности торгово-сервисных предприятий. </w:t>
      </w:r>
      <w:r>
        <w:rPr>
          <w:color w:val="808080" w:themeColor="background1" w:themeShade="80"/>
          <w:sz w:val="20"/>
          <w:szCs w:val="20"/>
          <w:u w:val="single"/>
        </w:rPr>
        <w:t xml:space="preserve">В</w:t>
      </w:r>
      <w:r>
        <w:rPr>
          <w:color w:val="808080" w:themeColor="background1" w:themeShade="80"/>
          <w:sz w:val="20"/>
          <w:szCs w:val="20"/>
          <w:u w:val="single"/>
        </w:rPr>
        <w:t xml:space="preserve">ыбор </w:t>
      </w:r>
      <w:r>
        <w:rPr>
          <w:color w:val="808080" w:themeColor="background1" w:themeShade="80"/>
          <w:sz w:val="20"/>
          <w:szCs w:val="20"/>
          <w:u w:val="single"/>
        </w:rPr>
        <w:t xml:space="preserve">доступной </w:t>
      </w:r>
      <w:r>
        <w:rPr>
          <w:color w:val="808080" w:themeColor="background1" w:themeShade="80"/>
          <w:sz w:val="20"/>
          <w:szCs w:val="20"/>
          <w:u w:val="single"/>
        </w:rPr>
        <w:t xml:space="preserve">категории проставляется автоматически. </w:t>
      </w:r>
      <w:r>
        <w:rPr>
          <w:color w:val="808080" w:themeColor="background1" w:themeShade="80"/>
          <w:sz w:val="20"/>
          <w:szCs w:val="20"/>
          <w:u w:val="single"/>
        </w:rPr>
      </w:r>
      <w:r>
        <w:rPr>
          <w:color w:val="808080" w:themeColor="background1" w:themeShade="80"/>
          <w:sz w:val="20"/>
          <w:szCs w:val="20"/>
          <w:u w:val="single"/>
        </w:rPr>
      </w:r>
    </w:p>
    <w:p>
      <w:r>
        <w:t xml:space="preserve">После заполнения всех обязательных полей заявки на акцию в левом углу необходимо кликнуть на кнопку «Создать заявку на акцию»:</w:t>
      </w:r>
      <w:r/>
    </w:p>
    <w:p>
      <w:pPr>
        <w:rPr>
          <w:color w:val="808080" w:themeColor="background1" w:themeShade="80"/>
          <w:sz w:val="20"/>
          <w:szCs w:val="20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14750" cy="1014955"/>
                <wp:effectExtent l="0" t="0" r="0" b="0"/>
                <wp:docPr id="91" name="Рисунок 1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3"/>
                        <a:stretch/>
                      </pic:blipFill>
                      <pic:spPr bwMode="auto">
                        <a:xfrm>
                          <a:off x="0" y="0"/>
                          <a:ext cx="3758764" cy="10269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0" o:spid="_x0000_s90" type="#_x0000_t75" style="width:292.50pt;height:79.92pt;mso-wrap-distance-left:0.00pt;mso-wrap-distance-top:0.00pt;mso-wrap-distance-right:0.00pt;mso-wrap-distance-bottom:0.00pt;" stroked="false">
                <v:path textboxrect="0,0,0,0"/>
                <v:imagedata r:id="rId93" o:title=""/>
              </v:shape>
            </w:pict>
          </mc:Fallback>
        </mc:AlternateContent>
      </w:r>
      <w:r>
        <w:rPr>
          <w:color w:val="808080" w:themeColor="background1" w:themeShade="80"/>
          <w:sz w:val="20"/>
          <w:szCs w:val="20"/>
        </w:rPr>
      </w:r>
      <w:r>
        <w:rPr>
          <w:color w:val="808080" w:themeColor="background1" w:themeShade="80"/>
          <w:sz w:val="20"/>
          <w:szCs w:val="20"/>
        </w:rPr>
      </w:r>
    </w:p>
    <w:p>
      <w:r>
        <w:t xml:space="preserve">Ознакомиться с прогнозным планом продвижения акции и кликнуть на кнопку «Продолжить»</w:t>
      </w:r>
      <w:r/>
    </w:p>
    <w:p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461259" cy="2306218"/>
                <wp:effectExtent l="0" t="0" r="0" b="0"/>
                <wp:docPr id="9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1314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4"/>
                        <a:stretch/>
                      </pic:blipFill>
                      <pic:spPr bwMode="auto">
                        <a:xfrm flipH="0" flipV="0">
                          <a:off x="0" y="0"/>
                          <a:ext cx="3461257" cy="23062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1" o:spid="_x0000_s91" type="#_x0000_t75" style="width:272.54pt;height:181.59pt;mso-wrap-distance-left:0.00pt;mso-wrap-distance-top:0.00pt;mso-wrap-distance-right:0.00pt;mso-wrap-distance-bottom:0.00pt;" stroked="false">
                <v:path textboxrect="0,0,0,0"/>
                <v:imagedata r:id="rId94" o:title=""/>
              </v:shape>
            </w:pict>
          </mc:Fallback>
        </mc:AlternateContent>
      </w:r>
      <w:r/>
    </w:p>
    <w:p>
      <w:r>
        <w:t xml:space="preserve">После этого можно отслеживать статус заявки на акцию в Списке заявок на акцию.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28780" cy="2136888"/>
                <wp:effectExtent l="0" t="0" r="0" b="0"/>
                <wp:docPr id="9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49806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5"/>
                        <a:stretch/>
                      </pic:blipFill>
                      <pic:spPr bwMode="auto">
                        <a:xfrm flipH="0" flipV="0">
                          <a:off x="0" y="0"/>
                          <a:ext cx="5328780" cy="21368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2" o:spid="_x0000_s92" type="#_x0000_t75" style="width:419.59pt;height:168.26pt;mso-wrap-distance-left:0.00pt;mso-wrap-distance-top:0.00pt;mso-wrap-distance-right:0.00pt;mso-wrap-distance-bottom:0.00pt;" stroked="false">
                <v:path textboxrect="0,0,0,0"/>
                <v:imagedata r:id="rId95" o:title=""/>
              </v:shape>
            </w:pict>
          </mc:Fallback>
        </mc:AlternateContent>
      </w:r>
      <w:r/>
    </w:p>
    <w:p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2717165</wp:posOffset>
                </wp:positionH>
                <wp:positionV relativeFrom="paragraph">
                  <wp:posOffset>1166495</wp:posOffset>
                </wp:positionV>
                <wp:extent cx="387350" cy="488950"/>
                <wp:effectExtent l="0" t="0" r="12700" b="25400"/>
                <wp:wrapNone/>
                <wp:docPr id="94" name="Прямоугольник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7350" cy="4889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3" o:spid="_x0000_s93" o:spt="1" type="#_x0000_t1" style="position:absolute;z-index:251674624;o:allowoverlap:true;o:allowincell:true;mso-position-horizontal-relative:text;margin-left:213.95pt;mso-position-horizontal:absolute;mso-position-vertical-relative:text;margin-top:91.85pt;mso-position-vertical:absolute;width:30.50pt;height:38.50pt;mso-wrap-distance-left:9.00pt;mso-wrap-distance-top:0.00pt;mso-wrap-distance-right:9.00pt;mso-wrap-distance-bottom:0.00pt;visibility:visible;" filled="f" strokecolor="#C00000" strokeweight="1.00pt"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65650" cy="1691072"/>
                <wp:effectExtent l="0" t="0" r="6350" b="4445"/>
                <wp:docPr id="95" name="Рисунок 1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6"/>
                        <a:stretch/>
                      </pic:blipFill>
                      <pic:spPr bwMode="auto">
                        <a:xfrm>
                          <a:off x="0" y="0"/>
                          <a:ext cx="4577813" cy="169557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4" o:spid="_x0000_s94" type="#_x0000_t75" style="width:359.50pt;height:133.16pt;mso-wrap-distance-left:0.00pt;mso-wrap-distance-top:0.00pt;mso-wrap-distance-right:0.00pt;mso-wrap-distance-bottom:0.00pt;" stroked="false">
                <v:path textboxrect="0,0,0,0"/>
                <v:imagedata r:id="rId96" o:title=""/>
              </v:shape>
            </w:pict>
          </mc:Fallback>
        </mc:AlternateContent>
      </w:r>
      <w:r/>
    </w:p>
    <w:p>
      <w:r/>
      <w:r/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4" w:name="_Toc13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Рассчитать бизнес-кейс</w:t>
      </w:r>
      <w:bookmarkEnd w:id="44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Для расчета эффекта от планируемой акции можно воспользоваться функцией расчета бизнес-кейса.</w:t>
      </w:r>
      <w:r/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624493"/>
                <wp:effectExtent l="0" t="0" r="0" b="0"/>
                <wp:docPr id="9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0439578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7"/>
                        <a:stretch/>
                      </pic:blipFill>
                      <pic:spPr bwMode="auto">
                        <a:xfrm>
                          <a:off x="0" y="0"/>
                          <a:ext cx="5940424" cy="26244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5" o:spid="_x0000_s95" type="#_x0000_t75" style="width:467.75pt;height:206.65pt;mso-wrap-distance-left:0.00pt;mso-wrap-distance-top:0.00pt;mso-wrap-distance-right:0.00pt;mso-wrap-distance-bottom:0.00pt;" stroked="false">
                <v:path textboxrect="0,0,0,0"/>
                <v:imagedata r:id="rId97" o:title=""/>
              </v:shape>
            </w:pict>
          </mc:Fallback>
        </mc:AlternateContent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/>
      <w:r/>
    </w:p>
    <w:p>
      <w:r>
        <w:t xml:space="preserve">Для расчета бизнес-кейса необходимо указать условия планируемой акции.</w:t>
      </w:r>
      <w:r/>
    </w:p>
    <w:p>
      <w:pPr>
        <w:pStyle w:val="855"/>
        <w:numPr>
          <w:ilvl w:val="0"/>
          <w:numId w:val="9"/>
        </w:numPr>
      </w:pPr>
      <w:r>
        <w:t xml:space="preserve">Выбрать механику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256405"/>
                <wp:effectExtent l="0" t="0" r="3175" b="0"/>
                <wp:docPr id="97" name="Рисунок 1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8"/>
                        <a:stretch/>
                      </pic:blipFill>
                      <pic:spPr bwMode="auto">
                        <a:xfrm>
                          <a:off x="0" y="0"/>
                          <a:ext cx="5940425" cy="4256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6" o:spid="_x0000_s96" type="#_x0000_t75" style="width:467.75pt;height:335.15pt;mso-wrap-distance-left:0.00pt;mso-wrap-distance-top:0.00pt;mso-wrap-distance-right:0.00pt;mso-wrap-distance-bottom:0.00pt;" stroked="false">
                <v:path textboxrect="0,0,0,0"/>
                <v:imagedata r:id="rId98" o:title=""/>
              </v:shape>
            </w:pict>
          </mc:Fallback>
        </mc:AlternateContent>
      </w:r>
      <w:r/>
    </w:p>
    <w:p>
      <w:pPr>
        <w:pStyle w:val="855"/>
        <w:numPr>
          <w:ilvl w:val="0"/>
          <w:numId w:val="9"/>
        </w:numPr>
      </w:pPr>
      <w:r>
        <w:t xml:space="preserve">Указать условия акции, заполнив все обязательные поля.</w:t>
      </w:r>
      <w:r/>
    </w:p>
    <w:p>
      <w:pPr>
        <w:pStyle w:val="855"/>
      </w:pPr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59045" cy="6355810"/>
                <wp:effectExtent l="0" t="0" r="0" b="0"/>
                <wp:docPr id="98" name="Рисунок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9"/>
                        <a:stretch/>
                      </pic:blipFill>
                      <pic:spPr bwMode="auto">
                        <a:xfrm flipH="0" flipV="0">
                          <a:off x="0" y="0"/>
                          <a:ext cx="5359044" cy="635580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7" o:spid="_x0000_s97" type="#_x0000_t75" style="width:421.97pt;height:500.46pt;mso-wrap-distance-left:0.00pt;mso-wrap-distance-top:0.00pt;mso-wrap-distance-right:0.00pt;mso-wrap-distance-bottom:0.00pt;" stroked="false">
                <v:path textboxrect="0,0,0,0"/>
                <v:imagedata r:id="rId99" o:title=""/>
              </v:shape>
            </w:pict>
          </mc:Fallback>
        </mc:AlternateContent>
      </w:r>
      <w:r/>
    </w:p>
    <w:p>
      <w:r>
        <w:t xml:space="preserve">Нажать «Рассчитать кейс». После этого появится информационное сообщение:</w:t>
      </w:r>
      <w:r/>
    </w:p>
    <w:p>
      <w:r/>
      <w:commentRangeStart w:id="10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590800" cy="1366849"/>
                <wp:effectExtent l="0" t="0" r="0" b="5080"/>
                <wp:docPr id="99" name="Рисунок 1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0"/>
                        <a:stretch/>
                      </pic:blipFill>
                      <pic:spPr bwMode="auto">
                        <a:xfrm>
                          <a:off x="0" y="0"/>
                          <a:ext cx="2603514" cy="13735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8" o:spid="_x0000_s98" type="#_x0000_t75" style="width:204.00pt;height:107.63pt;mso-wrap-distance-left:0.00pt;mso-wrap-distance-top:0.00pt;mso-wrap-distance-right:0.00pt;mso-wrap-distance-bottom:0.00pt;" stroked="false">
                <v:path textboxrect="0,0,0,0"/>
                <v:imagedata r:id="rId100" o:title=""/>
              </v:shape>
            </w:pict>
          </mc:Fallback>
        </mc:AlternateContent>
      </w:r>
      <w:commentRangeEnd w:id="10"/>
      <w:r>
        <w:commentReference w:id="10"/>
      </w:r>
      <w:r>
        <w:rPr>
          <w:rStyle w:val="861"/>
        </w:rPr>
      </w:r>
      <w:r/>
    </w:p>
    <w:p>
      <w:r/>
      <w:r/>
    </w:p>
    <w:p>
      <w:r>
        <w:t xml:space="preserve">Статус выполнения расчета можно отслеживать в разделе «Список бизнес-кейсов»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81986" cy="2402935"/>
                <wp:effectExtent l="0" t="0" r="0" b="0"/>
                <wp:docPr id="100" name="Рисунок 1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1"/>
                        <a:stretch/>
                      </pic:blipFill>
                      <pic:spPr bwMode="auto">
                        <a:xfrm flipH="0" flipV="0">
                          <a:off x="0" y="0"/>
                          <a:ext cx="5181986" cy="24029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9" o:spid="_x0000_s99" type="#_x0000_t75" style="width:408.03pt;height:189.21pt;mso-wrap-distance-left:0.00pt;mso-wrap-distance-top:0.00pt;mso-wrap-distance-right:0.00pt;mso-wrap-distance-bottom:0.00pt;" stroked="false">
                <v:path textboxrect="0,0,0,0"/>
                <v:imagedata r:id="rId101" o:title=""/>
              </v:shape>
            </w:pict>
          </mc:Fallback>
        </mc:AlternateContent>
      </w:r>
      <w:r/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5" w:name="_Toc14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Список бизнес-кейсов</w:t>
      </w:r>
      <w:bookmarkEnd w:id="45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В данном разделе можно посмотреть список бизнес-кейсов</w:t>
      </w:r>
      <w:r>
        <w:t xml:space="preserve">, создать новую заявку на расчет бизнес-кейса, удалить расчет или обновить статус.</w:t>
      </w:r>
      <w:r/>
    </w:p>
    <w:p>
      <w:r/>
      <w:r/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6" w:name="_Toc15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Целевая аудитория</w:t>
      </w:r>
      <w:bookmarkEnd w:id="46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highlight w:val="none"/>
        </w:rPr>
      </w:pPr>
      <w:r>
        <w:t xml:space="preserve">Для того, чтобы запустить акцию </w:t>
      </w:r>
      <w:r>
        <w:t xml:space="preserve">на определенную аудиторию покупателей, необходимо подать заявку на формирование целевой аудитории и расчет бизнес-кейса.</w: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54172" cy="2285819"/>
                <wp:effectExtent l="0" t="0" r="0" b="0"/>
                <wp:docPr id="10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717069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2"/>
                        <a:stretch/>
                      </pic:blipFill>
                      <pic:spPr bwMode="auto">
                        <a:xfrm flipH="0" flipV="0">
                          <a:off x="0" y="0"/>
                          <a:ext cx="5354171" cy="22858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0" o:spid="_x0000_s100" type="#_x0000_t75" style="width:421.59pt;height:179.99pt;mso-wrap-distance-left:0.00pt;mso-wrap-distance-top:0.00pt;mso-wrap-distance-right:0.00pt;mso-wrap-distance-bottom:0.00pt;" stroked="false">
                <v:path textboxrect="0,0,0,0"/>
                <v:imagedata r:id="rId102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r>
        <w:t xml:space="preserve">Перейти в раздел «Целевая аудитория», выбрать Бренд, Группы магазинов, Регионы, Группы покупателей </w:t>
      </w:r>
      <w:r>
        <w:rPr>
          <w:b/>
        </w:rPr>
        <w:t xml:space="preserve">Новые, Отток, Постоянные</w:t>
      </w:r>
      <w:r>
        <w:rPr>
          <w:b/>
        </w:rPr>
        <w:t xml:space="preserve"> </w:t>
      </w:r>
      <w:r>
        <w:t xml:space="preserve">и выбрать возраст покупателей (если нужно).</w:t>
      </w:r>
      <w:r>
        <w:t xml:space="preserve"> </w:t>
      </w:r>
      <w:r/>
    </w:p>
    <w:p>
      <w:r>
        <w:t xml:space="preserve">Как определяются разные категории покупателей?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01087" cy="2613660"/>
                <wp:effectExtent l="0" t="0" r="0" b="0"/>
                <wp:docPr id="102" name="Рисунок 1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3"/>
                        <a:stretch/>
                      </pic:blipFill>
                      <pic:spPr bwMode="auto">
                        <a:xfrm>
                          <a:off x="0" y="0"/>
                          <a:ext cx="6127194" cy="26248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1" o:spid="_x0000_s101" type="#_x0000_t75" style="width:480.40pt;height:205.80pt;mso-wrap-distance-left:0.00pt;mso-wrap-distance-top:0.00pt;mso-wrap-distance-right:0.00pt;mso-wrap-distance-bottom:0.00pt;" stroked="f">
                <v:path textboxrect="0,0,0,0"/>
                <v:imagedata r:id="rId103" o:title=""/>
              </v:shape>
            </w:pict>
          </mc:Fallback>
        </mc:AlternateContent>
      </w:r>
      <w:r/>
    </w:p>
    <w:p>
      <w:r/>
      <w:r/>
    </w:p>
    <w:p>
      <w:r>
        <w:t xml:space="preserve">Заполняется следующая форма: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661025" cy="3522345"/>
                <wp:effectExtent l="0" t="0" r="0" b="1905"/>
                <wp:docPr id="103" name="Рисунок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4"/>
                        <a:stretch/>
                      </pic:blipFill>
                      <pic:spPr bwMode="auto">
                        <a:xfrm>
                          <a:off x="0" y="0"/>
                          <a:ext cx="5661025" cy="352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2" o:spid="_x0000_s102" type="#_x0000_t75" style="width:445.75pt;height:277.35pt;mso-wrap-distance-left:0.00pt;mso-wrap-distance-top:0.00pt;mso-wrap-distance-right:0.00pt;mso-wrap-distance-bottom:0.00pt;" stroked="f">
                <v:path textboxrect="0,0,0,0"/>
                <v:imagedata r:id="rId104" o:title=""/>
              </v:shape>
            </w:pict>
          </mc:Fallback>
        </mc:AlternateContent>
      </w:r>
      <w:r/>
    </w:p>
    <w:p>
      <w:r/>
      <w:r/>
    </w:p>
    <w:p>
      <w:r>
        <w:t xml:space="preserve">После нажать кнопку Применить.</w:t>
      </w:r>
      <w:r/>
    </w:p>
    <w:p>
      <w:r>
        <w:t xml:space="preserve">Система начнет расчет ЦА и, если она будет менее допустимых значений (ориентировочно 6000 клиентов), запустить акцию не получится. </w:t>
      </w:r>
      <w:r/>
    </w:p>
    <w:p>
      <w:r>
        <w:t xml:space="preserve">Вот так выглядит результат с ЦА.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14645" cy="3713480"/>
                <wp:effectExtent l="0" t="0" r="0" b="1270"/>
                <wp:docPr id="104" name="Рисунок 1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5"/>
                        <a:stretch/>
                      </pic:blipFill>
                      <pic:spPr bwMode="auto">
                        <a:xfrm>
                          <a:off x="0" y="0"/>
                          <a:ext cx="5414645" cy="371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3" o:spid="_x0000_s103" type="#_x0000_t75" style="width:426.35pt;height:292.40pt;mso-wrap-distance-left:0.00pt;mso-wrap-distance-top:0.00pt;mso-wrap-distance-right:0.00pt;mso-wrap-distance-bottom:0.00pt;" stroked="f">
                <v:path textboxrect="0,0,0,0"/>
                <v:imagedata r:id="rId105" o:title=""/>
              </v:shape>
            </w:pict>
          </mc:Fallback>
        </mc:AlternateContent>
      </w:r>
      <w:r/>
    </w:p>
    <w:p>
      <w:r>
        <w:t xml:space="preserve">Далее необходимо нажать «Рассчитать кейс» и выбрать тип акции, заполнить заявку.</w:t>
      </w:r>
      <w:r/>
    </w:p>
    <w:p>
      <w:r/>
      <w:r/>
    </w:p>
    <w:p>
      <w:pPr>
        <w:rPr>
          <w:lang w:val="en-US"/>
        </w:rPr>
      </w:pPr>
      <w:r>
        <w:rPr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645150" cy="3442970"/>
                <wp:effectExtent l="0" t="0" r="0" b="5080"/>
                <wp:docPr id="105" name="Рисунок 1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6"/>
                        <a:stretch/>
                      </pic:blipFill>
                      <pic:spPr bwMode="auto">
                        <a:xfrm>
                          <a:off x="0" y="0"/>
                          <a:ext cx="5645150" cy="3442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4" o:spid="_x0000_s104" type="#_x0000_t75" style="width:444.50pt;height:271.10pt;mso-wrap-distance-left:0.00pt;mso-wrap-distance-top:0.00pt;mso-wrap-distance-right:0.00pt;mso-wrap-distance-bottom:0.00pt;" stroked="f">
                <v:path textboxrect="0,0,0,0"/>
                <v:imagedata r:id="rId106" o:title=""/>
              </v:shape>
            </w:pict>
          </mc:Fallback>
        </mc:AlternateContent>
      </w:r>
      <w:r>
        <w:rPr>
          <w:lang w:val="en-US"/>
        </w:rPr>
      </w:r>
      <w:r>
        <w:rPr>
          <w:lang w:val="en-US"/>
        </w:rPr>
      </w:r>
    </w:p>
    <w:p>
      <w:r>
        <w:t xml:space="preserve">И нажать на кнопку «Рассчитать кейс». После того, как кейс будет рассчитан – можно отправить заявку на акцию.</w:t>
      </w:r>
      <w:r/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7" w:name="_Toc16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Список заявок на акцию</w:t>
      </w:r>
      <w:bookmarkEnd w:id="47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В данном разделе можно посмотреть </w:t>
      </w:r>
      <w:r>
        <w:t xml:space="preserve">все заявки на акции, провалиться в заявку и посмотреть подробные условия, а также создать новую </w:t>
      </w:r>
      <w:r>
        <w:t xml:space="preserve">заявку на акцию.</w:t>
      </w:r>
      <w:r/>
    </w:p>
    <w:p>
      <w:r>
        <w:t xml:space="preserve">Если заявка еще не согласована АО НСПК, она находится в статусе Новая, если согласована – Утверждена, если отклонена – Отклонена, если акция уже идет – Акция началась, если отменена – Акция отменена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807290" cy="2462483"/>
                <wp:effectExtent l="0" t="0" r="0" b="0"/>
                <wp:docPr id="106" name="Рисунок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3410788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7"/>
                        <a:stretch/>
                      </pic:blipFill>
                      <pic:spPr bwMode="auto">
                        <a:xfrm flipH="0" flipV="0">
                          <a:off x="0" y="0"/>
                          <a:ext cx="4807289" cy="24624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5" o:spid="_x0000_s105" type="#_x0000_t75" style="width:378.53pt;height:193.90pt;mso-wrap-distance-left:0.00pt;mso-wrap-distance-top:0.00pt;mso-wrap-distance-right:0.00pt;mso-wrap-distance-bottom:0.00pt;" stroked="false">
                <v:path textboxrect="0,0,0,0"/>
                <v:imagedata r:id="rId107" o:title=""/>
              </v:shape>
            </w:pict>
          </mc:Fallback>
        </mc:AlternateContent>
      </w:r>
      <w:r/>
    </w:p>
    <w:p>
      <w:r>
        <w:t xml:space="preserve">Подробнее об акции: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47694" cy="5524500"/>
                <wp:effectExtent l="0" t="0" r="0" b="0"/>
                <wp:docPr id="107" name="Рисунок 1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0046687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8"/>
                        <a:stretch/>
                      </pic:blipFill>
                      <pic:spPr bwMode="auto">
                        <a:xfrm flipH="0" flipV="0">
                          <a:off x="0" y="0"/>
                          <a:ext cx="4247694" cy="55244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6" o:spid="_x0000_s106" type="#_x0000_t75" style="width:334.46pt;height:435.00pt;mso-wrap-distance-left:0.00pt;mso-wrap-distance-top:0.00pt;mso-wrap-distance-right:0.00pt;mso-wrap-distance-bottom:0.00pt;" stroked="false">
                <v:path textboxrect="0,0,0,0"/>
                <v:imagedata r:id="rId108" o:title=""/>
              </v:shape>
            </w:pict>
          </mc:Fallback>
        </mc:AlternateContent>
      </w:r>
      <w:r/>
    </w:p>
    <w:p>
      <w:pPr>
        <w:pStyle w:val="676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8" w:name="_Toc17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Все акции</w:t>
      </w:r>
      <w:bookmarkEnd w:id="48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В данном разделе можно просмотреть информацию о всех акциях, которые запускались партнером. </w:t>
      </w:r>
      <w:r/>
    </w:p>
    <w:p>
      <w:r>
        <w:t xml:space="preserve">Для того, чтобы найти информацию по нужной акции, необходимо перейти в соответствующий раздел:</w:t>
      </w:r>
      <w:r/>
    </w:p>
    <w:p>
      <w:r>
        <w:t xml:space="preserve">Действуют сейчас – активные акции</w:t>
      </w:r>
      <w:r/>
    </w:p>
    <w:p>
      <w:r>
        <w:t xml:space="preserve">Созданные – акции, которые уже были заведены в системе, но еще не стартовали</w:t>
      </w:r>
      <w:r/>
    </w:p>
    <w:p>
      <w:r>
        <w:t xml:space="preserve">Анонсированные – если акция еще не запущена, но ее уже видно на сайте (по акциям партнеров такое обычно не делаем)</w:t>
      </w:r>
      <w:r/>
    </w:p>
    <w:p>
      <w:r>
        <w:t xml:space="preserve">Приостановленные – акции, которые были приостановлены</w:t>
      </w:r>
      <w:r/>
    </w:p>
    <w:p>
      <w:r>
        <w:t xml:space="preserve">Завершенные</w:t>
      </w:r>
      <w:r/>
    </w:p>
    <w:p>
      <w:r>
        <w:t xml:space="preserve">Прекращенные – акции, которые были досрочно прекращены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902075"/>
                <wp:effectExtent l="0" t="0" r="3175" b="3175"/>
                <wp:docPr id="108" name="Рисунок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9"/>
                        <a:stretch/>
                      </pic:blipFill>
                      <pic:spPr bwMode="auto">
                        <a:xfrm>
                          <a:off x="0" y="0"/>
                          <a:ext cx="5940425" cy="3902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7" o:spid="_x0000_s107" type="#_x0000_t75" style="width:467.75pt;height:307.25pt;mso-wrap-distance-left:0.00pt;mso-wrap-distance-top:0.00pt;mso-wrap-distance-right:0.00pt;mso-wrap-distance-bottom:0.00pt;" stroked="false">
                <v:path textboxrect="0,0,0,0"/>
                <v:imagedata r:id="rId109" o:title=""/>
              </v:shape>
            </w:pict>
          </mc:Fallback>
        </mc:AlternateContent>
      </w:r>
      <w:r/>
    </w:p>
    <w:p>
      <w:r/>
      <w:commentRangeStart w:id="11"/>
      <w:commentRangeStart w:id="12"/>
      <w:r>
        <w:t xml:space="preserve">Для того, чтобы направить заявку на продление или приостановку акции необходимо зайти в раздел </w:t>
      </w:r>
      <w:r>
        <w:t xml:space="preserve">«</w:t>
      </w:r>
      <w:r>
        <w:t xml:space="preserve">Действую</w:t>
      </w:r>
      <w:r>
        <w:t xml:space="preserve">т</w:t>
      </w:r>
      <w:r>
        <w:t xml:space="preserve"> сейчас», выбрать нужную акцию и кликнуть на нее.</w:t>
      </w:r>
      <w:commentRangeEnd w:id="11"/>
      <w:commentRangeEnd w:id="12"/>
      <w:r>
        <w:commentReference w:id="11"/>
        <w:commentReference w:id="12"/>
      </w:r>
      <w:r>
        <w:rPr>
          <w:rStyle w:val="861"/>
        </w:rPr>
      </w:r>
      <w:bookmarkStart w:id="31" w:name="_GoBack"/>
      <w:r/>
      <w:bookmarkEnd w:id="31"/>
      <w:r>
        <w:rPr>
          <w:rStyle w:val="861"/>
        </w:rPr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22026" cy="2571750"/>
                <wp:effectExtent l="0" t="0" r="2540" b="0"/>
                <wp:docPr id="109" name="Рисунок 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0"/>
                        <a:stretch/>
                      </pic:blipFill>
                      <pic:spPr bwMode="auto">
                        <a:xfrm>
                          <a:off x="0" y="0"/>
                          <a:ext cx="4727678" cy="257482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8" o:spid="_x0000_s108" type="#_x0000_t75" style="width:371.81pt;height:202.50pt;mso-wrap-distance-left:0.00pt;mso-wrap-distance-top:0.00pt;mso-wrap-distance-right:0.00pt;mso-wrap-distance-bottom:0.00pt;" stroked="false">
                <v:path textboxrect="0,0,0,0"/>
                <v:imagedata r:id="rId110" o:title=""/>
              </v:shape>
            </w:pict>
          </mc:Fallback>
        </mc:AlternateContent>
      </w:r>
      <w:r/>
    </w:p>
    <w:p>
      <w:r>
        <w:t xml:space="preserve">Далее нажать «Редактировать»</w:t>
      </w:r>
      <w:r>
        <w:t xml:space="preserve"> </w:t>
      </w:r>
      <w:r>
        <w:t xml:space="preserve">в нижнем левом углу: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876675" cy="2048705"/>
                <wp:effectExtent l="0" t="0" r="0" b="8890"/>
                <wp:docPr id="110" name="Рисунок 1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1"/>
                        <a:stretch/>
                      </pic:blipFill>
                      <pic:spPr bwMode="auto">
                        <a:xfrm>
                          <a:off x="0" y="0"/>
                          <a:ext cx="3886026" cy="20536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9" o:spid="_x0000_s109" type="#_x0000_t75" style="width:305.25pt;height:161.32pt;mso-wrap-distance-left:0.00pt;mso-wrap-distance-top:0.00pt;mso-wrap-distance-right:0.00pt;mso-wrap-distance-bottom:0.00pt;" stroked="f">
                <v:path textboxrect="0,0,0,0"/>
                <v:imagedata r:id="rId111" o:title=""/>
              </v:shape>
            </w:pict>
          </mc:Fallback>
        </mc:AlternateContent>
      </w:r>
      <w:r/>
    </w:p>
    <w:p>
      <w:r>
        <w:t xml:space="preserve">И выбрать нужную опцию: продлить или Приостановить. Заявка будет направлена на согласование в АО «НСПК» и необходимо будет ожидать письма от сотрудника или утверждения/отклонения заявки в ЛК.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08011" cy="3362325"/>
                <wp:effectExtent l="0" t="0" r="0" b="0"/>
                <wp:docPr id="111" name="Рисунок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611103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2"/>
                        <a:stretch/>
                      </pic:blipFill>
                      <pic:spPr bwMode="auto">
                        <a:xfrm>
                          <a:off x="0" y="0"/>
                          <a:ext cx="3216428" cy="33711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0" o:spid="_x0000_s110" type="#_x0000_t75" style="width:252.60pt;height:264.75pt;mso-wrap-distance-left:0.00pt;mso-wrap-distance-top:0.00pt;mso-wrap-distance-right:0.00pt;mso-wrap-distance-bottom:0.00pt;" stroked="false">
                <v:path textboxrect="0,0,0,0"/>
                <v:imagedata r:id="rId112" o:title=""/>
              </v:shape>
            </w:pict>
          </mc:Fallback>
        </mc:AlternateContent>
      </w:r>
      <w:r/>
    </w:p>
    <w:p>
      <w:r/>
      <w:r/>
    </w:p>
    <w:p>
      <w:pPr>
        <w:pStyle w:val="844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49" w:name="_Toc18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Модерация акций</w:t>
      </w:r>
      <w:bookmarkEnd w:id="49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Как только на стороне АО «НСПК» все готово к запуску акции, модератор направляет в ЛК партнера на согласование ряд заявок. </w:t>
      </w:r>
      <w:r>
        <w:t xml:space="preserve">Для согласования заявки необходимо «провалиться в нее», ознакомиться с информацией и нажать кнопку «Согласовать все».</w:t>
      </w:r>
      <w:r/>
    </w:p>
    <w:p>
      <w:r>
        <w:t xml:space="preserve">Всегда на согласование направляется сама карточка акции. Партнер должен ознакомиться с условиями и нажать «Согласовать все» или отклонить. Данная заявка будет доступна в меню «Модерация акции» - «акции».</w:t>
      </w:r>
      <w:r/>
    </w:p>
    <w:p>
      <w:r>
        <w:t xml:space="preserve">В части случаев на согласование может быть направлен бренд, Группа магазинов, Адреса торговых точек, а также заявки на приостановку акции.</w:t>
      </w:r>
      <w:r>
        <w:t xml:space="preserve"> Порядок согласования аналогичный.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733800"/>
                <wp:effectExtent l="0" t="0" r="3175" b="0"/>
                <wp:docPr id="112" name="Рисунок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3"/>
                        <a:stretch/>
                      </pic:blipFill>
                      <pic:spPr bwMode="auto">
                        <a:xfrm>
                          <a:off x="0" y="0"/>
                          <a:ext cx="5940425" cy="3733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1" o:spid="_x0000_s111" type="#_x0000_t75" style="width:467.75pt;height:294.00pt;mso-wrap-distance-left:0.00pt;mso-wrap-distance-top:0.00pt;mso-wrap-distance-right:0.00pt;mso-wrap-distance-bottom:0.00pt;" stroked="false">
                <v:path textboxrect="0,0,0,0"/>
                <v:imagedata r:id="rId113" o:title=""/>
              </v:shape>
            </w:pict>
          </mc:Fallback>
        </mc:AlternateContent>
      </w:r>
      <w:r/>
    </w:p>
    <w:p>
      <w:r>
        <w:t xml:space="preserve">Заявка на модерацию акции (в ней партнер видит все условия и </w:t>
      </w:r>
      <w:r>
        <w:t xml:space="preserve">визуал</w:t>
      </w:r>
      <w:r>
        <w:t xml:space="preserve"> (если есть)), долен ознакомиться и согласовать.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03389" cy="7057390"/>
                <wp:effectExtent l="0" t="0" r="0" b="0"/>
                <wp:docPr id="113" name="Рисунок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4"/>
                        <a:stretch/>
                      </pic:blipFill>
                      <pic:spPr bwMode="auto">
                        <a:xfrm>
                          <a:off x="0" y="0"/>
                          <a:ext cx="5310633" cy="70670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2" o:spid="_x0000_s112" type="#_x0000_t75" style="width:417.59pt;height:555.70pt;mso-wrap-distance-left:0.00pt;mso-wrap-distance-top:0.00pt;mso-wrap-distance-right:0.00pt;mso-wrap-distance-bottom:0.00pt;" stroked="false">
                <v:path textboxrect="0,0,0,0"/>
                <v:imagedata r:id="rId114" o:title=""/>
              </v:shape>
            </w:pict>
          </mc:Fallback>
        </mc:AlternateConten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544523" cy="1876425"/>
                <wp:effectExtent l="0" t="0" r="0" b="0"/>
                <wp:docPr id="114" name="Рисунок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5"/>
                        <a:stretch/>
                      </pic:blipFill>
                      <pic:spPr bwMode="auto">
                        <a:xfrm>
                          <a:off x="0" y="0"/>
                          <a:ext cx="5575862" cy="188703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3" o:spid="_x0000_s113" type="#_x0000_t75" style="width:436.58pt;height:147.75pt;mso-wrap-distance-left:0.00pt;mso-wrap-distance-top:0.00pt;mso-wrap-distance-right:0.00pt;mso-wrap-distance-bottom:0.00pt;" stroked="false">
                <v:path textboxrect="0,0,0,0"/>
                <v:imagedata r:id="rId115" o:title=""/>
              </v:shape>
            </w:pict>
          </mc:Fallback>
        </mc:AlternateContent>
      </w:r>
      <w:r/>
    </w:p>
    <w:p>
      <w:r/>
      <w:r/>
    </w:p>
    <w:p>
      <w:r>
        <w:t xml:space="preserve">Заявка на модерацию бренда. Партнер видит старые и новые значения, может согласовать или отклонить заявку.</w:t>
      </w:r>
      <w:r/>
    </w:p>
    <w:p>
      <w:r>
        <w:t xml:space="preserve">Заявка на модерацию бренда.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933825"/>
                <wp:effectExtent l="0" t="0" r="3175" b="9525"/>
                <wp:docPr id="115" name="Рисунок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6"/>
                        <a:stretch/>
                      </pic:blipFill>
                      <pic:spPr bwMode="auto">
                        <a:xfrm>
                          <a:off x="0" y="0"/>
                          <a:ext cx="5940425" cy="39338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4" o:spid="_x0000_s114" type="#_x0000_t75" style="width:467.75pt;height:309.75pt;mso-wrap-distance-left:0.00pt;mso-wrap-distance-top:0.00pt;mso-wrap-distance-right:0.00pt;mso-wrap-distance-bottom:0.00pt;" stroked="false">
                <v:path textboxrect="0,0,0,0"/>
                <v:imagedata r:id="rId116" o:title=""/>
              </v:shape>
            </w:pict>
          </mc:Fallback>
        </mc:AlternateContent>
      </w:r>
      <w:r/>
    </w:p>
    <w:p>
      <w:r>
        <w:t xml:space="preserve">Заявка на модерацию группы магазинов, которая участвует в акции. Партнер может посмотреть все данные. На сайт из ГМ выводится только наименование ЮЛ – Организатора акции, остальные параметры – технические.  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448277" cy="3609975"/>
                <wp:effectExtent l="0" t="0" r="9525" b="0"/>
                <wp:docPr id="116" name="Рисунок 1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7"/>
                        <a:stretch/>
                      </pic:blipFill>
                      <pic:spPr bwMode="auto">
                        <a:xfrm>
                          <a:off x="0" y="0"/>
                          <a:ext cx="4454764" cy="36152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5" o:spid="_x0000_s115" type="#_x0000_t75" style="width:350.26pt;height:284.25pt;mso-wrap-distance-left:0.00pt;mso-wrap-distance-top:0.00pt;mso-wrap-distance-right:0.00pt;mso-wrap-distance-bottom:0.00pt;" stroked="false">
                <v:path textboxrect="0,0,0,0"/>
                <v:imagedata r:id="rId117" o:title=""/>
              </v:shape>
            </w:pict>
          </mc:Fallback>
        </mc:AlternateContent>
      </w:r>
      <w:r/>
    </w:p>
    <w:p>
      <w:r>
        <w:t xml:space="preserve">Заявка на согласование адреса</w:t>
      </w:r>
      <w:r/>
    </w:p>
    <w:p>
      <w:r>
        <w:t xml:space="preserve">В случае с отработкой заявки на адреса магазинов, </w:t>
      </w:r>
      <w:r>
        <w:t xml:space="preserve">партнер может согласовать несколько штук, выбрав нужные галочкой, или отклонить несколько: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66465"/>
                <wp:effectExtent l="0" t="0" r="3175" b="635"/>
                <wp:docPr id="117" name="Рисунок 1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8"/>
                        <a:stretch/>
                      </pic:blipFill>
                      <pic:spPr bwMode="auto">
                        <a:xfrm>
                          <a:off x="0" y="0"/>
                          <a:ext cx="5940425" cy="34664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6" o:spid="_x0000_s116" type="#_x0000_t75" style="width:467.75pt;height:272.95pt;mso-wrap-distance-left:0.00pt;mso-wrap-distance-top:0.00pt;mso-wrap-distance-right:0.00pt;mso-wrap-distance-bottom:0.00pt;" stroked="false">
                <v:path textboxrect="0,0,0,0"/>
                <v:imagedata r:id="rId118" o:title=""/>
              </v:shape>
            </w:pict>
          </mc:Fallback>
        </mc:AlternateContent>
      </w:r>
      <w:r/>
    </w:p>
    <w:p>
      <w:r>
        <w:t xml:space="preserve">Заявка на приостановку акций.</w:t>
      </w:r>
      <w:r/>
    </w:p>
    <w:p>
      <w:r>
        <w:t xml:space="preserve">Если партнер направлял заявку на приостановку или если такая заявка была направлена с нашей стороны, он сможет увидеть ее в разделе с заявками на приостановку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54680"/>
                <wp:effectExtent l="0" t="0" r="3175" b="7620"/>
                <wp:docPr id="118" name="Рисунок 1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9"/>
                        <a:stretch/>
                      </pic:blipFill>
                      <pic:spPr bwMode="auto">
                        <a:xfrm>
                          <a:off x="0" y="0"/>
                          <a:ext cx="5940425" cy="31546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7" o:spid="_x0000_s117" type="#_x0000_t75" style="width:467.75pt;height:248.40pt;mso-wrap-distance-left:0.00pt;mso-wrap-distance-top:0.00pt;mso-wrap-distance-right:0.00pt;mso-wrap-distance-bottom:0.00pt;" stroked="false">
                <v:path textboxrect="0,0,0,0"/>
                <v:imagedata r:id="rId119" o:title=""/>
              </v:shape>
            </w:pict>
          </mc:Fallback>
        </mc:AlternateContent>
      </w:r>
      <w:r/>
    </w:p>
    <w:p>
      <w:r>
        <w:t xml:space="preserve">Если в нее провалиться, можно ознакомиться с условиями приостановки и согласовать или отклонить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77369" cy="2305050"/>
                <wp:effectExtent l="0" t="0" r="4445" b="0"/>
                <wp:docPr id="119" name="Рисунок 1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0"/>
                        <a:stretch/>
                      </pic:blipFill>
                      <pic:spPr bwMode="auto">
                        <a:xfrm>
                          <a:off x="0" y="0"/>
                          <a:ext cx="5178384" cy="23055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8" o:spid="_x0000_s118" type="#_x0000_t75" style="width:407.67pt;height:181.50pt;mso-wrap-distance-left:0.00pt;mso-wrap-distance-top:0.00pt;mso-wrap-distance-right:0.00pt;mso-wrap-distance-bottom:0.00pt;" stroked="false">
                <v:path textboxrect="0,0,0,0"/>
                <v:imagedata r:id="rId120" o:title=""/>
              </v:shape>
            </w:pict>
          </mc:Fallback>
        </mc:AlternateContent>
      </w:r>
      <w:r/>
    </w:p>
    <w:p>
      <w:pPr>
        <w:pStyle w:val="844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50" w:name="_Toc19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Отчеты</w:t>
      </w:r>
      <w:bookmarkEnd w:id="50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w:t xml:space="preserve">В разделе отчетов можно сформировать отчет или посмотреть информацию по сформированным отчетам:</w:t>
      </w:r>
      <w:r/>
    </w:p>
    <w:p>
      <w:r/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1068070"/>
                <wp:effectExtent l="0" t="0" r="3175" b="0"/>
                <wp:docPr id="120" name="Рисунок 1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1"/>
                        <a:stretch/>
                      </pic:blipFill>
                      <pic:spPr bwMode="auto">
                        <a:xfrm>
                          <a:off x="0" y="0"/>
                          <a:ext cx="5940425" cy="10680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9" o:spid="_x0000_s119" type="#_x0000_t75" style="width:467.75pt;height:84.10pt;mso-wrap-distance-left:0.00pt;mso-wrap-distance-top:0.00pt;mso-wrap-distance-right:0.00pt;mso-wrap-distance-bottom:0.00pt;" stroked="false">
                <v:path textboxrect="0,0,0,0"/>
                <v:imagedata r:id="rId121" o:title=""/>
              </v:shape>
            </w:pict>
          </mc:Fallback>
        </mc:AlternateContent>
      </w:r>
      <w:r/>
    </w:p>
    <w:p>
      <w:r>
        <w:t xml:space="preserve">Если партнеру необходимо сформировать отчет, нужно выбрать нужный тип отчета из списка (пока отчеты доступны только для акций по картам «Мир»)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1517015"/>
                <wp:effectExtent l="0" t="0" r="3175" b="6985"/>
                <wp:docPr id="121" name="Рисунок 1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2"/>
                        <a:stretch/>
                      </pic:blipFill>
                      <pic:spPr bwMode="auto">
                        <a:xfrm>
                          <a:off x="0" y="0"/>
                          <a:ext cx="5940425" cy="1517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0" o:spid="_x0000_s120" type="#_x0000_t75" style="width:467.75pt;height:119.45pt;mso-wrap-distance-left:0.00pt;mso-wrap-distance-top:0.00pt;mso-wrap-distance-right:0.00pt;mso-wrap-distance-bottom:0.00pt;" stroked="false">
                <v:path textboxrect="0,0,0,0"/>
                <v:imagedata r:id="rId122" o:title=""/>
              </v:shape>
            </w:pict>
          </mc:Fallback>
        </mc:AlternateContent>
      </w:r>
      <w:r>
        <w:t xml:space="preserve">Если партнеру необходимо сформировать аналитический отчет, нужно выбрать бренд из списка, группа магазинов будет заполнена автоматически (есть возможность удалить одну из ГМ, если</w:t>
      </w:r>
      <w:r>
        <w:t xml:space="preserve"> у </w:t>
      </w:r>
      <w:r>
        <w:t xml:space="preserve">партнера их несколько), выбрать акцию, </w:t>
      </w:r>
      <w:r>
        <w:t xml:space="preserve">и задать период отчета. Дата начала отчета – это всегда </w:t>
      </w:r>
      <w:r>
        <w:t xml:space="preserve">дата начала акции.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873101" cy="3771900"/>
                <wp:effectExtent l="0" t="0" r="3810" b="0"/>
                <wp:docPr id="122" name="Рисунок 1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3"/>
                        <a:stretch/>
                      </pic:blipFill>
                      <pic:spPr bwMode="auto">
                        <a:xfrm>
                          <a:off x="0" y="0"/>
                          <a:ext cx="4876069" cy="37741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1" o:spid="_x0000_s121" type="#_x0000_t75" style="width:383.71pt;height:297.00pt;mso-wrap-distance-left:0.00pt;mso-wrap-distance-top:0.00pt;mso-wrap-distance-right:0.00pt;mso-wrap-distance-bottom:0.00pt;" stroked="false">
                <v:path textboxrect="0,0,0,0"/>
                <v:imagedata r:id="rId123" o:title=""/>
              </v:shape>
            </w:pict>
          </mc:Fallback>
        </mc:AlternateContent>
      </w:r>
      <w:r/>
    </w:p>
    <w:p>
      <w:r>
        <w:t xml:space="preserve">Транзакционный отчет</w:t>
      </w:r>
      <w:r/>
    </w:p>
    <w:p>
      <w:r>
        <w:t xml:space="preserve">Для формирования транзакционного отчета необходимо выбрать бренд из списка доступных, группы магазинов из списка и акцию. Указать принцип формирования отчета и период.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15687" cy="4019550"/>
                <wp:effectExtent l="0" t="0" r="8890" b="0"/>
                <wp:docPr id="123" name="Рисунок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4"/>
                        <a:stretch/>
                      </pic:blipFill>
                      <pic:spPr bwMode="auto">
                        <a:xfrm>
                          <a:off x="0" y="0"/>
                          <a:ext cx="4721048" cy="40241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2" o:spid="_x0000_s122" type="#_x0000_t75" style="width:371.31pt;height:316.50pt;mso-wrap-distance-left:0.00pt;mso-wrap-distance-top:0.00pt;mso-wrap-distance-right:0.00pt;mso-wrap-distance-bottom:0.00pt;" stroked="false">
                <v:path textboxrect="0,0,0,0"/>
                <v:imagedata r:id="rId124" o:title=""/>
              </v:shape>
            </w:pict>
          </mc:Fallback>
        </mc:AlternateContent>
      </w:r>
      <w:r/>
    </w:p>
    <w:p>
      <w:r/>
      <w:r/>
    </w:p>
    <w:p>
      <w:r>
        <w:t xml:space="preserve">Сводный отчет</w:t>
      </w:r>
      <w:r/>
    </w:p>
    <w:p>
      <w:r>
        <w:t xml:space="preserve">Для формирования сводного отчета необходимо выбрать бренд из списка, группу магазинов, акции и задать период отчета.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833111" cy="4210050"/>
                <wp:effectExtent l="0" t="0" r="5715" b="0"/>
                <wp:docPr id="124" name="Рисунок 1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5"/>
                        <a:stretch/>
                      </pic:blipFill>
                      <pic:spPr bwMode="auto">
                        <a:xfrm>
                          <a:off x="0" y="0"/>
                          <a:ext cx="4841952" cy="421775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3" o:spid="_x0000_s123" type="#_x0000_t75" style="width:380.56pt;height:331.50pt;mso-wrap-distance-left:0.00pt;mso-wrap-distance-top:0.00pt;mso-wrap-distance-right:0.00pt;mso-wrap-distance-bottom:0.00pt;" stroked="false">
                <v:path textboxrect="0,0,0,0"/>
                <v:imagedata r:id="rId125" o:title=""/>
              </v:shape>
            </w:pict>
          </mc:Fallback>
        </mc:AlternateContent>
      </w:r>
      <w:r/>
    </w:p>
    <w:p>
      <w:r>
        <w:t xml:space="preserve">В меню «Мои отчеты» можно посмотреть список всех запрошенных отчетов.</w: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87946" cy="2457450"/>
                <wp:effectExtent l="0" t="0" r="3175" b="0"/>
                <wp:docPr id="125" name="Рисунок 1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6"/>
                        <a:stretch/>
                      </pic:blipFill>
                      <pic:spPr bwMode="auto">
                        <a:xfrm>
                          <a:off x="0" y="0"/>
                          <a:ext cx="4993720" cy="24602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4" o:spid="_x0000_s124" type="#_x0000_t75" style="width:392.75pt;height:193.50pt;mso-wrap-distance-left:0.00pt;mso-wrap-distance-top:0.00pt;mso-wrap-distance-right:0.00pt;mso-wrap-distance-bottom:0.00pt;" stroked="false">
                <v:path textboxrect="0,0,0,0"/>
                <v:imagedata r:id="rId126" o:title=""/>
              </v:shape>
            </w:pict>
          </mc:Fallback>
        </mc:AlternateContent>
      </w:r>
      <w:r/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pPr>
        <w:pStyle w:val="844"/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pPr>
      <w:r/>
      <w:bookmarkStart w:id="51" w:name="_Toc20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  <w:t xml:space="preserve">Частые вопросы</w:t>
      </w:r>
      <w:bookmarkEnd w:id="51"/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  <w:r>
        <w:rPr>
          <w:rFonts w:asciiTheme="majorHAnsi" w:hAnsiTheme="majorHAnsi" w:eastAsiaTheme="majorEastAsia" w:cstheme="majorBidi"/>
          <w:color w:val="2f5496" w:themeColor="accent1" w:themeShade="BF"/>
          <w:sz w:val="32"/>
          <w:szCs w:val="32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6338570"/>
                <wp:effectExtent l="0" t="0" r="3175" b="5080"/>
                <wp:docPr id="126" name="Рисунок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7"/>
                        <a:stretch/>
                      </pic:blipFill>
                      <pic:spPr bwMode="auto">
                        <a:xfrm>
                          <a:off x="0" y="0"/>
                          <a:ext cx="5940425" cy="6338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5" o:spid="_x0000_s125" type="#_x0000_t75" style="width:467.75pt;height:499.10pt;mso-wrap-distance-left:0.00pt;mso-wrap-distance-top:0.00pt;mso-wrap-distance-right:0.00pt;mso-wrap-distance-bottom:0.00pt;" stroked="false">
                <v:path textboxrect="0,0,0,0"/>
                <v:imagedata r:id="rId127" o:title=""/>
              </v:shape>
            </w:pict>
          </mc:Fallback>
        </mc:AlternateConten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6438265"/>
                <wp:effectExtent l="0" t="0" r="3175" b="635"/>
                <wp:docPr id="127" name="Рисунок 1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8"/>
                        <a:stretch/>
                      </pic:blipFill>
                      <pic:spPr bwMode="auto">
                        <a:xfrm>
                          <a:off x="0" y="0"/>
                          <a:ext cx="5940425" cy="64382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6" o:spid="_x0000_s126" type="#_x0000_t75" style="width:467.75pt;height:506.95pt;mso-wrap-distance-left:0.00pt;mso-wrap-distance-top:0.00pt;mso-wrap-distance-right:0.00pt;mso-wrap-distance-bottom:0.00pt;" stroked="false">
                <v:path textboxrect="0,0,0,0"/>
                <v:imagedata r:id="rId128" o:title=""/>
              </v:shape>
            </w:pict>
          </mc:Fallback>
        </mc:AlternateContent>
      </w:r>
      <w:r/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5785485"/>
                <wp:effectExtent l="0" t="0" r="3175" b="5715"/>
                <wp:docPr id="128" name="Рисунок 1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9"/>
                        <a:stretch/>
                      </pic:blipFill>
                      <pic:spPr bwMode="auto">
                        <a:xfrm>
                          <a:off x="0" y="0"/>
                          <a:ext cx="5940425" cy="57854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7" o:spid="_x0000_s127" type="#_x0000_t75" style="width:467.75pt;height:455.55pt;mso-wrap-distance-left:0.00pt;mso-wrap-distance-top:0.00pt;mso-wrap-distance-right:0.00pt;mso-wrap-distance-bottom:0.00pt;" stroked="false">
                <v:path textboxrect="0,0,0,0"/>
                <v:imagedata r:id="rId129" o:title=""/>
              </v:shape>
            </w:pict>
          </mc:Fallback>
        </mc:AlternateContent>
      </w:r>
      <w:r/>
    </w:p>
    <w:sectPr>
      <w:footnotePr/>
      <w:endnotePr/>
      <w:type w:val="nextPage"/>
      <w:pgSz w:w="11906" w:h="16838" w:orient="portrait"/>
      <w:pgMar w:top="709" w:right="850" w:bottom="1134" w:left="1701" w:header="708" w:footer="708" w:gutter="0"/>
      <w:cols w:num="1" w:sep="0" w:space="708" w:equalWidth="1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1" w:author="Наталья Андрюшина" w:date="2024-10-04T14:27:00Z" w:initials="НА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Нужно внести в БЗ, раз эта инфа будет у партнеров.</w:t>
      </w:r>
    </w:p>
  </w:comment>
  <w:comment w:id="12" w:author="Минаева Ирина Олеговна" w:date="2024-10-04T16:39:00Z" w:initials="МИО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ок</w:t>
      </w:r>
    </w:p>
  </w:comment>
  <w:comment w:id="10" w:author="Минаева Ирина Олеговна" w:date="2024-10-02T16:51:00Z" w:initials="МИО">
    <w:p w14:paraId="00000003" w14:textId="00000003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Здесь нужно дополнить информацией</w:t>
      </w:r>
    </w:p>
  </w:comment>
  <w:comment w:id="8" w:author="Наталья Андрюшина" w:date="2024-10-04T13:39:00Z" w:initials="НА">
    <w:p w14:paraId="00000004" w14:textId="00000004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Ну по регламенту согласование до 10 раб. дней. У партнера возникнут вопросы если мы будем транслировать одну информацию, а инструкция другую. Плюс может быть проверка полномочий и уже не от нас зависит, когда мы ее согласуем</w:t>
      </w:r>
    </w:p>
  </w:comment>
  <w:comment w:id="9" w:author="Минаева Ирина Олеговна" w:date="2024-10-04T16:37:00Z" w:initials="МИО">
    <w:p w14:paraId="00000005" w14:textId="00000005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Согласна можете поменять</w:t>
      </w:r>
    </w:p>
  </w:comment>
  <w:comment w:id="6" w:author="Наталья Андрюшина" w:date="2024-10-04T13:48:00Z" w:initials="НА">
    <w:p w14:paraId="00000006" w14:textId="00000006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Прошу уточнить про кнопку «Редактировать». На каких шагах она присутствует, потому что ранее мы рекомендовали редактировать заявку через «карандаш»?</w:t>
      </w:r>
    </w:p>
  </w:comment>
  <w:comment w:id="7" w:author="Минаева Ирина Олеговна" w:date="2024-10-04T16:37:00Z" w:initials="МИО">
    <w:p w14:paraId="00000007" w14:textId="00000007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Только на этой страничке</w:t>
      </w:r>
    </w:p>
  </w:comment>
  <w:comment w:id="4" w:author="Наталья Андрюшина" w:date="2024-10-04T13:43:00Z" w:initials="НА">
    <w:p w14:paraId="00000008" w14:textId="00000008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Может сюда добавить ссылки </w:t>
      </w:r>
    </w:p>
  </w:comment>
  <w:comment w:id="5" w:author="Минаева Ирина Олеговна" w:date="2024-10-04T16:34:00Z" w:initials="МИО">
    <w:p w14:paraId="00000009" w14:textId="00000009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можно</w:t>
      </w:r>
    </w:p>
  </w:comment>
  <w:comment w:id="2" w:author="Наталья Андрюшина" w:date="2024-10-04T13:35:00Z" w:initials="НА">
    <w:p w14:paraId="0000000A" w14:textId="0000000A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Ну вот на этом скрине примерный расчет. Позвонит партнёр с вопросом, а что означат цифры?  Мы ответить не сможем. Может удалить из инструкции про него вообще?</w:t>
      </w:r>
    </w:p>
  </w:comment>
  <w:comment w:id="3" w:author="Минаева Ирина Олеговна" w:date="2024-10-04T16:28:00Z" w:initials="МИО">
    <w:p w14:paraId="0000000B" w14:textId="0000000B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Выше ответила)</w:t>
      </w:r>
    </w:p>
  </w:comment>
  <w:comment w:id="0" w:author="Наталья Андрюшина" w:date="2024-10-04T13:33:00Z" w:initials="НА">
    <w:p w14:paraId="0000000C" w14:textId="0000000C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А может не стоит про него писать? У нас по нему вообще в БЗ информации нет. </w:t>
      </w:r>
    </w:p>
  </w:comment>
  <w:comment w:id="1" w:author="Минаева Ирина Олеговна" w:date="2024-10-04T16:28:00Z" w:initials="МИО">
    <w:p w14:paraId="0000000D" w14:textId="0000000D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Ну лкчше, чтобы операторы знали, что он есть, а в БЗ добавим инфу по нему после моего отпуска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1"/>
  <w15:commentEx w15:paraId="00000002" w15:paraIdParent="00000001" w15:done="0"/>
  <w15:commentEx w15:paraId="00000003" w15:done="0"/>
  <w15:commentEx w15:paraId="00000004" w15:done="1"/>
  <w15:commentEx w15:paraId="00000005" w15:paraIdParent="00000004" w15:done="0"/>
  <w15:commentEx w15:paraId="00000006" w15:done="1"/>
  <w15:commentEx w15:paraId="00000007" w15:paraIdParent="00000006" w15:done="0"/>
  <w15:commentEx w15:paraId="00000008" w15:done="1"/>
  <w15:commentEx w15:paraId="00000009" w15:paraIdParent="00000008" w15:done="0"/>
  <w15:commentEx w15:paraId="0000000A" w15:done="1"/>
  <w15:commentEx w15:paraId="0000000B" w15:paraIdParent="0000000A" w15:done="0"/>
  <w15:commentEx w15:paraId="0000000C" w15:done="1"/>
  <w15:commentEx w15:paraId="0000000D" w15:paraIdParent="0000000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AAA79B5" w16cex:dateUtc="2024-10-04T11:27:00Z"/>
  <w16cex:commentExtensible w16cex:durableId="7927434D" w16cex:dateUtc="2024-10-04T13:39:00Z"/>
  <w16cex:commentExtensible w16cex:durableId="2AAA6EAC" w16cex:dateUtc="2024-10-04T10:39:00Z"/>
  <w16cex:commentExtensible w16cex:durableId="1E461202" w16cex:dateUtc="2024-10-04T13:37:00Z"/>
  <w16cex:commentExtensible w16cex:durableId="2AAA70C6" w16cex:dateUtc="2024-10-04T10:48:00Z"/>
  <w16cex:commentExtensible w16cex:durableId="4DF60E42" w16cex:dateUtc="2024-10-04T13:37:00Z"/>
  <w16cex:commentExtensible w16cex:durableId="2AAA6F91" w16cex:dateUtc="2024-10-04T10:43:00Z"/>
  <w16cex:commentExtensible w16cex:durableId="24948FA1" w16cex:dateUtc="2024-10-04T13:34:00Z"/>
  <w16cex:commentExtensible w16cex:durableId="2AAA6DAE" w16cex:dateUtc="2024-10-04T10:35:00Z"/>
  <w16cex:commentExtensible w16cex:durableId="1E0E7A4F" w16cex:dateUtc="2024-10-04T13:28:00Z"/>
  <w16cex:commentExtensible w16cex:durableId="2AAA6D2D" w16cex:dateUtc="2024-10-04T10:33:00Z"/>
  <w16cex:commentExtensible w16cex:durableId="7C2C4EF1" w16cex:dateUtc="2024-10-04T13:28:00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2AAA79B5"/>
  <w16cid:commentId w16cid:paraId="00000002" w16cid:durableId="7927434D"/>
  <w16cid:commentId w16cid:paraId="00000003" w16cid:durableId="2AA7F875"/>
  <w16cid:commentId w16cid:paraId="00000004" w16cid:durableId="2AAA6EAC"/>
  <w16cid:commentId w16cid:paraId="00000005" w16cid:durableId="1E461202"/>
  <w16cid:commentId w16cid:paraId="00000006" w16cid:durableId="2AAA70C6"/>
  <w16cid:commentId w16cid:paraId="00000007" w16cid:durableId="4DF60E42"/>
  <w16cid:commentId w16cid:paraId="00000008" w16cid:durableId="2AAA6F91"/>
  <w16cid:commentId w16cid:paraId="00000009" w16cid:durableId="24948FA1"/>
  <w16cid:commentId w16cid:paraId="0000000A" w16cid:durableId="2AAA6DAE"/>
  <w16cid:commentId w16cid:paraId="0000000B" w16cid:durableId="1E0E7A4F"/>
  <w16cid:commentId w16cid:paraId="0000000C" w16cid:durableId="2AAA6D2D"/>
  <w16cid:commentId w16cid:paraId="0000000D" w16cid:durableId="7C2C4EF1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Roboto">
    <w:panose1 w:val="02000000000000000000"/>
  </w:font>
  <w:font w:name="Times New Roman">
    <w:panose1 w:val="02020603050405020304"/>
  </w:font>
  <w:font w:name="Calibri">
    <w:panose1 w:val="020F0502020204030204"/>
  </w:font>
  <w:font w:name="Wingdings">
    <w:panose1 w:val="05000000000000000000"/>
  </w:font>
  <w:font w:name="Courier New">
    <w:panose1 w:val="02070309020205020404"/>
  </w:font>
  <w:font w:name="Symbol">
    <w:panose1 w:val="05050102010706020507"/>
  </w:font>
  <w:font w:name="Segoe UI">
    <w:panose1 w:val="020B0502040204020203"/>
  </w:font>
  <w:font w:name="Arial">
    <w:panose1 w:val="020B060402020202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4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60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6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8"/>
  </w:num>
  <w:num w:numId="5">
    <w:abstractNumId w:val="2"/>
  </w:num>
  <w:num w:numId="6">
    <w:abstractNumId w:val="0"/>
  </w:num>
  <w:num w:numId="7">
    <w:abstractNumId w:val="5"/>
  </w:num>
  <w:num w:numId="8">
    <w:abstractNumId w:val="3"/>
  </w:num>
  <w:num w:numId="9">
    <w:abstractNumId w:val="1"/>
  </w:num>
  <w:num w:numId="10">
    <w:abstractNumId w:val="9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Минаева Ирина Олеговна">
    <w15:presenceInfo w15:providerId="Teamlab" w15:userId="S-1-5-21-171722650-2575118273-661228900-21158"/>
  </w15:person>
  <w15:person w15:author="Наталья Андрюшина">
    <w15:presenceInfo w15:providerId="Teamlab" w15:userId="S-1-5-21-4020632548-595173152-791960161-15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74">
    <w:name w:val="Heading 1 Char"/>
    <w:basedOn w:val="845"/>
    <w:link w:val="843"/>
    <w:uiPriority w:val="9"/>
    <w:rPr>
      <w:rFonts w:ascii="Arial" w:hAnsi="Arial" w:eastAsia="Arial" w:cs="Arial"/>
      <w:sz w:val="40"/>
      <w:szCs w:val="40"/>
    </w:rPr>
  </w:style>
  <w:style w:type="character" w:styleId="675">
    <w:name w:val="Heading 2 Char"/>
    <w:basedOn w:val="845"/>
    <w:link w:val="844"/>
    <w:uiPriority w:val="9"/>
    <w:rPr>
      <w:rFonts w:ascii="Arial" w:hAnsi="Arial" w:eastAsia="Arial" w:cs="Arial"/>
      <w:sz w:val="34"/>
    </w:rPr>
  </w:style>
  <w:style w:type="paragraph" w:styleId="676">
    <w:name w:val="Heading 3"/>
    <w:basedOn w:val="842"/>
    <w:next w:val="842"/>
    <w:link w:val="677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77">
    <w:name w:val="Heading 3 Char"/>
    <w:basedOn w:val="845"/>
    <w:link w:val="676"/>
    <w:uiPriority w:val="9"/>
    <w:rPr>
      <w:rFonts w:ascii="Arial" w:hAnsi="Arial" w:eastAsia="Arial" w:cs="Arial"/>
      <w:sz w:val="30"/>
      <w:szCs w:val="30"/>
    </w:rPr>
  </w:style>
  <w:style w:type="paragraph" w:styleId="678">
    <w:name w:val="Heading 4"/>
    <w:basedOn w:val="842"/>
    <w:next w:val="842"/>
    <w:link w:val="679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79">
    <w:name w:val="Heading 4 Char"/>
    <w:basedOn w:val="845"/>
    <w:link w:val="678"/>
    <w:uiPriority w:val="9"/>
    <w:rPr>
      <w:rFonts w:ascii="Arial" w:hAnsi="Arial" w:eastAsia="Arial" w:cs="Arial"/>
      <w:b/>
      <w:bCs/>
      <w:sz w:val="26"/>
      <w:szCs w:val="26"/>
    </w:rPr>
  </w:style>
  <w:style w:type="paragraph" w:styleId="680">
    <w:name w:val="Heading 5"/>
    <w:basedOn w:val="842"/>
    <w:next w:val="842"/>
    <w:link w:val="681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81">
    <w:name w:val="Heading 5 Char"/>
    <w:basedOn w:val="845"/>
    <w:link w:val="680"/>
    <w:uiPriority w:val="9"/>
    <w:rPr>
      <w:rFonts w:ascii="Arial" w:hAnsi="Arial" w:eastAsia="Arial" w:cs="Arial"/>
      <w:b/>
      <w:bCs/>
      <w:sz w:val="24"/>
      <w:szCs w:val="24"/>
    </w:rPr>
  </w:style>
  <w:style w:type="paragraph" w:styleId="682">
    <w:name w:val="Heading 6"/>
    <w:basedOn w:val="842"/>
    <w:next w:val="842"/>
    <w:link w:val="683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83">
    <w:name w:val="Heading 6 Char"/>
    <w:basedOn w:val="845"/>
    <w:link w:val="682"/>
    <w:uiPriority w:val="9"/>
    <w:rPr>
      <w:rFonts w:ascii="Arial" w:hAnsi="Arial" w:eastAsia="Arial" w:cs="Arial"/>
      <w:b/>
      <w:bCs/>
      <w:sz w:val="22"/>
      <w:szCs w:val="22"/>
    </w:rPr>
  </w:style>
  <w:style w:type="paragraph" w:styleId="684">
    <w:name w:val="Heading 7"/>
    <w:basedOn w:val="842"/>
    <w:next w:val="842"/>
    <w:link w:val="685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85">
    <w:name w:val="Heading 7 Char"/>
    <w:basedOn w:val="845"/>
    <w:link w:val="684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86">
    <w:name w:val="Heading 8"/>
    <w:basedOn w:val="842"/>
    <w:next w:val="842"/>
    <w:link w:val="687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87">
    <w:name w:val="Heading 8 Char"/>
    <w:basedOn w:val="845"/>
    <w:link w:val="686"/>
    <w:uiPriority w:val="9"/>
    <w:rPr>
      <w:rFonts w:ascii="Arial" w:hAnsi="Arial" w:eastAsia="Arial" w:cs="Arial"/>
      <w:i/>
      <w:iCs/>
      <w:sz w:val="22"/>
      <w:szCs w:val="22"/>
    </w:rPr>
  </w:style>
  <w:style w:type="paragraph" w:styleId="688">
    <w:name w:val="Heading 9"/>
    <w:basedOn w:val="842"/>
    <w:next w:val="842"/>
    <w:link w:val="689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89">
    <w:name w:val="Heading 9 Char"/>
    <w:basedOn w:val="845"/>
    <w:link w:val="688"/>
    <w:uiPriority w:val="9"/>
    <w:rPr>
      <w:rFonts w:ascii="Arial" w:hAnsi="Arial" w:eastAsia="Arial" w:cs="Arial"/>
      <w:i/>
      <w:iCs/>
      <w:sz w:val="21"/>
      <w:szCs w:val="21"/>
    </w:rPr>
  </w:style>
  <w:style w:type="paragraph" w:styleId="690">
    <w:name w:val="No Spacing"/>
    <w:uiPriority w:val="1"/>
    <w:qFormat/>
    <w:pPr>
      <w:spacing w:before="0" w:after="0" w:line="240" w:lineRule="auto"/>
    </w:pPr>
  </w:style>
  <w:style w:type="paragraph" w:styleId="691">
    <w:name w:val="Title"/>
    <w:basedOn w:val="842"/>
    <w:next w:val="842"/>
    <w:link w:val="692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92">
    <w:name w:val="Title Char"/>
    <w:basedOn w:val="845"/>
    <w:link w:val="691"/>
    <w:uiPriority w:val="10"/>
    <w:rPr>
      <w:sz w:val="48"/>
      <w:szCs w:val="48"/>
    </w:rPr>
  </w:style>
  <w:style w:type="paragraph" w:styleId="693">
    <w:name w:val="Subtitle"/>
    <w:basedOn w:val="842"/>
    <w:next w:val="842"/>
    <w:link w:val="694"/>
    <w:uiPriority w:val="11"/>
    <w:qFormat/>
    <w:pPr>
      <w:spacing w:before="200" w:after="200"/>
    </w:pPr>
    <w:rPr>
      <w:sz w:val="24"/>
      <w:szCs w:val="24"/>
    </w:rPr>
  </w:style>
  <w:style w:type="character" w:styleId="694">
    <w:name w:val="Subtitle Char"/>
    <w:basedOn w:val="845"/>
    <w:link w:val="693"/>
    <w:uiPriority w:val="11"/>
    <w:rPr>
      <w:sz w:val="24"/>
      <w:szCs w:val="24"/>
    </w:rPr>
  </w:style>
  <w:style w:type="paragraph" w:styleId="695">
    <w:name w:val="Quote"/>
    <w:basedOn w:val="842"/>
    <w:next w:val="842"/>
    <w:link w:val="696"/>
    <w:uiPriority w:val="29"/>
    <w:qFormat/>
    <w:pPr>
      <w:ind w:left="720" w:right="720"/>
    </w:pPr>
    <w:rPr>
      <w:i/>
    </w:rPr>
  </w:style>
  <w:style w:type="character" w:styleId="696">
    <w:name w:val="Quote Char"/>
    <w:link w:val="695"/>
    <w:uiPriority w:val="29"/>
    <w:rPr>
      <w:i/>
    </w:rPr>
  </w:style>
  <w:style w:type="paragraph" w:styleId="697">
    <w:name w:val="Intense Quote"/>
    <w:basedOn w:val="842"/>
    <w:next w:val="842"/>
    <w:link w:val="698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98">
    <w:name w:val="Intense Quote Char"/>
    <w:link w:val="697"/>
    <w:uiPriority w:val="30"/>
    <w:rPr>
      <w:i/>
    </w:rPr>
  </w:style>
  <w:style w:type="character" w:styleId="699">
    <w:name w:val="Header Char"/>
    <w:basedOn w:val="845"/>
    <w:link w:val="850"/>
    <w:uiPriority w:val="99"/>
  </w:style>
  <w:style w:type="character" w:styleId="700">
    <w:name w:val="Footer Char"/>
    <w:basedOn w:val="845"/>
    <w:link w:val="852"/>
    <w:uiPriority w:val="99"/>
  </w:style>
  <w:style w:type="paragraph" w:styleId="701">
    <w:name w:val="Caption"/>
    <w:basedOn w:val="842"/>
    <w:next w:val="842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02">
    <w:name w:val="Caption Char"/>
    <w:basedOn w:val="701"/>
    <w:link w:val="852"/>
    <w:uiPriority w:val="99"/>
  </w:style>
  <w:style w:type="table" w:styleId="703">
    <w:name w:val="Table Grid Light"/>
    <w:basedOn w:val="846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04">
    <w:name w:val="Plain Table 1"/>
    <w:basedOn w:val="846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5">
    <w:name w:val="Plain Table 2"/>
    <w:basedOn w:val="846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6">
    <w:name w:val="Plain Table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07">
    <w:name w:val="Plain Table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8">
    <w:name w:val="Plain Table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09">
    <w:name w:val="Grid Table 1 Light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0">
    <w:name w:val="Grid Table 1 Light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1">
    <w:name w:val="Grid Table 1 Light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2">
    <w:name w:val="Grid Table 1 Light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3">
    <w:name w:val="Grid Table 1 Light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4">
    <w:name w:val="Grid Table 1 Light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5">
    <w:name w:val="Grid Table 1 Light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6">
    <w:name w:val="Grid Table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2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Grid Table 2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9">
    <w:name w:val="Grid Table 2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0">
    <w:name w:val="Grid Table 2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Grid Table 2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2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Grid Table 3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Grid Table 3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Grid Table 3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Grid Table 3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Grid Table 3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Grid Table 3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Grid Table 4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31">
    <w:name w:val="Grid Table 4 - Accent 1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37fc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32">
    <w:name w:val="Grid Table 4 - Accent 2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33">
    <w:name w:val="Grid Table 4 - Accent 3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34">
    <w:name w:val="Grid Table 4 - Accent 4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35">
    <w:name w:val="Grid Table 4 - Accent 5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36">
    <w:name w:val="Grid Table 4 - Accent 6"/>
    <w:basedOn w:val="84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37">
    <w:name w:val="Grid Table 5 Dark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38">
    <w:name w:val="Grid Table 5 Dark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9e2f2" w:themeFill="accent1" w:themeFillTint="34"/>
    </w:tblPr>
    <w:tblStylePr w:type="band1Horz">
      <w:tcPr>
        <w:shd w:val="clear" w:color="ffffff" w:themeColor="accent1" w:themeTint="75" w:fill="aabfe3" w:themeFill="accent1" w:themeFillTint="75"/>
      </w:tcPr>
    </w:tblStylePr>
    <w:tblStylePr w:type="band1Vert">
      <w:tcPr>
        <w:shd w:val="clear" w:color="ffffff" w:themeColor="accent1" w:themeTint="75" w:fill="aabfe3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  <w:tcBorders>
          <w:top w:val="single" w:color="000000" w:themeColor="light1" w:sz="4" w:space="0"/>
        </w:tcBorders>
      </w:tcPr>
    </w:tblStylePr>
  </w:style>
  <w:style w:type="table" w:styleId="739">
    <w:name w:val="Grid Table 5 Dark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40">
    <w:name w:val="Grid Table 5 Dark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41">
    <w:name w:val="Grid Table 5 Dark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42">
    <w:name w:val="Grid Table 5 Dark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debf6" w:themeFill="accent5" w:themeFillTint="34"/>
    </w:tblPr>
    <w:tblStylePr w:type="band1Horz">
      <w:tcPr>
        <w:shd w:val="clear" w:color="ffffff" w:themeColor="accent5" w:themeTint="75" w:fill="b4d2eb" w:themeFill="accent5" w:themeFillTint="75"/>
      </w:tcPr>
    </w:tblStylePr>
    <w:tblStylePr w:type="band1Vert">
      <w:tcPr>
        <w:shd w:val="clear" w:color="ffffff" w:themeColor="accent5" w:themeTint="75" w:fill="b4d2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light1" w:sz="4" w:space="0"/>
        </w:tcBorders>
      </w:tcPr>
    </w:tblStylePr>
  </w:style>
  <w:style w:type="table" w:styleId="743">
    <w:name w:val="Grid Table 5 Dark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44">
    <w:name w:val="Grid Table 6 Colorful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45">
    <w:name w:val="Grid Table 6 Colorful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664a9" w:themeColor="accent1" w:themeTint="80" w:themeShade="95"/>
      </w:rPr>
    </w:tblStylePr>
    <w:tblStylePr w:type="firstRow">
      <w:rPr>
        <w:b/>
        <w:color w:val="3664a9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664a9" w:themeColor="accent1" w:themeTint="80" w:themeShade="95"/>
      </w:rPr>
    </w:tblStylePr>
    <w:tblStylePr w:type="lastRow">
      <w:rPr>
        <w:b/>
        <w:color w:val="3664a9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46">
    <w:name w:val="Grid Table 6 Colorful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47">
    <w:name w:val="Grid Table 6 Colorful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48">
    <w:name w:val="Grid Table 6 Colorful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49">
    <w:name w:val="Grid Table 6 Colorful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0">
    <w:name w:val="Grid Table 6 Colorful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1">
    <w:name w:val="Grid Table 7 Colorful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7 Colorful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664a9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3664a9" w:themeColor="accent1" w:themeTint="80" w:themeShade="95"/>
        <w:sz w:val="22"/>
      </w:rPr>
    </w:tblStylePr>
    <w:tblStylePr w:type="firstCol">
      <w:rPr>
        <w:rFonts w:ascii="Arial" w:hAnsi="Arial"/>
        <w:i/>
        <w:color w:val="3664a9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664a9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7 Colorful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7 Colorful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7 Colorful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7 Colorful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45d8d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245d8d" w:themeColor="accent5" w:themeShade="95"/>
        <w:sz w:val="22"/>
      </w:rPr>
    </w:tblStylePr>
    <w:tblStylePr w:type="firstCol">
      <w:rPr>
        <w:rFonts w:ascii="Arial" w:hAnsi="Arial"/>
        <w:i/>
        <w:color w:val="245d8d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7 Colorful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List Table 1 Light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List Table 1 Light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0">
    <w:name w:val="List Table 1 Light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1">
    <w:name w:val="List Table 1 Light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2">
    <w:name w:val="List Table 1 Light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3">
    <w:name w:val="List Table 1 Light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4">
    <w:name w:val="List Table 1 Light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5">
    <w:name w:val="List Table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66">
    <w:name w:val="List Table 2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67">
    <w:name w:val="List Table 2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68">
    <w:name w:val="List Table 2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69">
    <w:name w:val="List Table 2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70">
    <w:name w:val="List Table 2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71">
    <w:name w:val="List Table 2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72">
    <w:name w:val="List Table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List Table 3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4">
    <w:name w:val="List Table 3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5">
    <w:name w:val="List Table 3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6">
    <w:name w:val="List Table 3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List Table 3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cc4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List Table 3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List Table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List Table 4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List Table 4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2">
    <w:name w:val="List Table 4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3">
    <w:name w:val="List Table 4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4">
    <w:name w:val="List Table 4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5">
    <w:name w:val="List Table 4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6">
    <w:name w:val="List Table 5 Dark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7">
    <w:name w:val="List Table 5 Dark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472c4" w:themeFill="accent1"/>
    </w:tblPr>
    <w:tblStylePr w:type="band1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472c4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472c4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8">
    <w:name w:val="List Table 5 Dark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9">
    <w:name w:val="List Table 5 Dark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0">
    <w:name w:val="List Table 5 Dark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1">
    <w:name w:val="List Table 5 Dark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cc4e5" w:themeFill="accent5" w:themeFillTint="9A"/>
    </w:tblPr>
    <w:tblStylePr w:type="band1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cc4e5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cc4e5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2">
    <w:name w:val="List Table 5 Dark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3">
    <w:name w:val="List Table 6 Colorful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94">
    <w:name w:val="List Table 6 Colorful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54374" w:themeColor="accent1" w:themeShade="95"/>
      </w:rPr>
    </w:tblStylePr>
    <w:tblStylePr w:type="firstRow">
      <w:rPr>
        <w:b/>
        <w:color w:val="254374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54374" w:themeColor="accent1" w:themeShade="95"/>
      </w:rPr>
    </w:tblStylePr>
    <w:tblStylePr w:type="lastRow">
      <w:rPr>
        <w:b/>
        <w:color w:val="254374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95">
    <w:name w:val="List Table 6 Colorful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96">
    <w:name w:val="List Table 6 Colorful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97">
    <w:name w:val="List Table 6 Colorful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98">
    <w:name w:val="List Table 6 Colorful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2e78b1" w:themeColor="accent5" w:themeTint="9A" w:themeShade="95"/>
      </w:rPr>
    </w:tblStylePr>
    <w:tblStylePr w:type="firstRow">
      <w:rPr>
        <w:b/>
        <w:color w:val="2e78b1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2e78b1" w:themeColor="accent5" w:themeTint="9A" w:themeShade="95"/>
      </w:rPr>
    </w:tblStylePr>
    <w:tblStylePr w:type="lastRow">
      <w:rPr>
        <w:b/>
        <w:color w:val="2e78b1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99">
    <w:name w:val="List Table 6 Colorful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00">
    <w:name w:val="List Table 7 Colorful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01">
    <w:name w:val="List Table 7 Colorful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54374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254374" w:themeColor="accent1" w:themeShade="95"/>
        <w:sz w:val="22"/>
      </w:rPr>
    </w:tblStylePr>
    <w:tblStylePr w:type="firstCol">
      <w:rPr>
        <w:rFonts w:ascii="Arial" w:hAnsi="Arial"/>
        <w:i/>
        <w:color w:val="254374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54374" w:themeColor="accent1" w:themeShade="95"/>
        <w:sz w:val="22"/>
      </w:rPr>
    </w:tblStylePr>
  </w:style>
  <w:style w:type="table" w:styleId="802">
    <w:name w:val="List Table 7 Colorful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803">
    <w:name w:val="List Table 7 Colorful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804">
    <w:name w:val="List Table 7 Colorful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805">
    <w:name w:val="List Table 7 Colorful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2e78b1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2e78b1" w:themeColor="accent5" w:themeTint="9A" w:themeShade="95"/>
        <w:sz w:val="22"/>
      </w:rPr>
    </w:tblStylePr>
    <w:tblStylePr w:type="firstCol">
      <w:rPr>
        <w:rFonts w:ascii="Arial" w:hAnsi="Arial"/>
        <w:i/>
        <w:color w:val="2e78b1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e78b1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e78b1" w:themeColor="accent5" w:themeTint="9A" w:themeShade="95"/>
        <w:sz w:val="22"/>
      </w:rPr>
    </w:tblStylePr>
  </w:style>
  <w:style w:type="table" w:styleId="806">
    <w:name w:val="List Table 7 Colorful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807">
    <w:name w:val="Lined - Accent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8">
    <w:name w:val="Lined - Accent 1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809">
    <w:name w:val="Lined - Accent 2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10">
    <w:name w:val="Lined - Accent 3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11">
    <w:name w:val="Lined - Accent 4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12">
    <w:name w:val="Lined - Accent 5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813">
    <w:name w:val="Lined - Accent 6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14">
    <w:name w:val="Bordered &amp; Lined - Accent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15">
    <w:name w:val="Bordered &amp; Lined - Accent 1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816">
    <w:name w:val="Bordered &amp; Lined - Accent 2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17">
    <w:name w:val="Bordered &amp; Lined - Accent 3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18">
    <w:name w:val="Bordered &amp; Lined - Accent 4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19">
    <w:name w:val="Bordered &amp; Lined - Accent 5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820">
    <w:name w:val="Bordered &amp; Lined - Accent 6"/>
    <w:basedOn w:val="84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21">
    <w:name w:val="Bordered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22">
    <w:name w:val="Bordered - Accent 1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23">
    <w:name w:val="Bordered - Accent 2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24">
    <w:name w:val="Bordered - Accent 3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25">
    <w:name w:val="Bordered - Accent 4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26">
    <w:name w:val="Bordered - Accent 5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27">
    <w:name w:val="Bordered - Accent 6"/>
    <w:basedOn w:val="84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828">
    <w:name w:val="footnote text"/>
    <w:basedOn w:val="842"/>
    <w:link w:val="829"/>
    <w:uiPriority w:val="99"/>
    <w:semiHidden/>
    <w:unhideWhenUsed/>
    <w:pPr>
      <w:spacing w:after="40" w:line="240" w:lineRule="auto"/>
    </w:pPr>
    <w:rPr>
      <w:sz w:val="18"/>
    </w:rPr>
  </w:style>
  <w:style w:type="character" w:styleId="829">
    <w:name w:val="Footnote Text Char"/>
    <w:link w:val="828"/>
    <w:uiPriority w:val="99"/>
    <w:rPr>
      <w:sz w:val="18"/>
    </w:rPr>
  </w:style>
  <w:style w:type="character" w:styleId="830">
    <w:name w:val="footnote reference"/>
    <w:basedOn w:val="845"/>
    <w:uiPriority w:val="99"/>
    <w:unhideWhenUsed/>
    <w:rPr>
      <w:vertAlign w:val="superscript"/>
    </w:rPr>
  </w:style>
  <w:style w:type="paragraph" w:styleId="831">
    <w:name w:val="endnote text"/>
    <w:basedOn w:val="842"/>
    <w:link w:val="832"/>
    <w:uiPriority w:val="99"/>
    <w:semiHidden/>
    <w:unhideWhenUsed/>
    <w:pPr>
      <w:spacing w:after="0" w:line="240" w:lineRule="auto"/>
    </w:pPr>
    <w:rPr>
      <w:sz w:val="20"/>
    </w:rPr>
  </w:style>
  <w:style w:type="character" w:styleId="832">
    <w:name w:val="Endnote Text Char"/>
    <w:link w:val="831"/>
    <w:uiPriority w:val="99"/>
    <w:rPr>
      <w:sz w:val="20"/>
    </w:rPr>
  </w:style>
  <w:style w:type="character" w:styleId="833">
    <w:name w:val="endnote reference"/>
    <w:basedOn w:val="845"/>
    <w:uiPriority w:val="99"/>
    <w:semiHidden/>
    <w:unhideWhenUsed/>
    <w:rPr>
      <w:vertAlign w:val="superscript"/>
    </w:rPr>
  </w:style>
  <w:style w:type="paragraph" w:styleId="834">
    <w:name w:val="toc 3"/>
    <w:basedOn w:val="842"/>
    <w:next w:val="842"/>
    <w:uiPriority w:val="39"/>
    <w:unhideWhenUsed/>
    <w:pPr>
      <w:ind w:left="567" w:right="0" w:firstLine="0"/>
      <w:spacing w:after="57"/>
    </w:pPr>
  </w:style>
  <w:style w:type="paragraph" w:styleId="835">
    <w:name w:val="toc 4"/>
    <w:basedOn w:val="842"/>
    <w:next w:val="842"/>
    <w:uiPriority w:val="39"/>
    <w:unhideWhenUsed/>
    <w:pPr>
      <w:ind w:left="850" w:right="0" w:firstLine="0"/>
      <w:spacing w:after="57"/>
    </w:pPr>
  </w:style>
  <w:style w:type="paragraph" w:styleId="836">
    <w:name w:val="toc 5"/>
    <w:basedOn w:val="842"/>
    <w:next w:val="842"/>
    <w:uiPriority w:val="39"/>
    <w:unhideWhenUsed/>
    <w:pPr>
      <w:ind w:left="1134" w:right="0" w:firstLine="0"/>
      <w:spacing w:after="57"/>
    </w:pPr>
  </w:style>
  <w:style w:type="paragraph" w:styleId="837">
    <w:name w:val="toc 6"/>
    <w:basedOn w:val="842"/>
    <w:next w:val="842"/>
    <w:uiPriority w:val="39"/>
    <w:unhideWhenUsed/>
    <w:pPr>
      <w:ind w:left="1417" w:right="0" w:firstLine="0"/>
      <w:spacing w:after="57"/>
    </w:pPr>
  </w:style>
  <w:style w:type="paragraph" w:styleId="838">
    <w:name w:val="toc 7"/>
    <w:basedOn w:val="842"/>
    <w:next w:val="842"/>
    <w:uiPriority w:val="39"/>
    <w:unhideWhenUsed/>
    <w:pPr>
      <w:ind w:left="1701" w:right="0" w:firstLine="0"/>
      <w:spacing w:after="57"/>
    </w:pPr>
  </w:style>
  <w:style w:type="paragraph" w:styleId="839">
    <w:name w:val="toc 8"/>
    <w:basedOn w:val="842"/>
    <w:next w:val="842"/>
    <w:uiPriority w:val="39"/>
    <w:unhideWhenUsed/>
    <w:pPr>
      <w:ind w:left="1984" w:right="0" w:firstLine="0"/>
      <w:spacing w:after="57"/>
    </w:pPr>
  </w:style>
  <w:style w:type="paragraph" w:styleId="840">
    <w:name w:val="toc 9"/>
    <w:basedOn w:val="842"/>
    <w:next w:val="842"/>
    <w:uiPriority w:val="39"/>
    <w:unhideWhenUsed/>
    <w:pPr>
      <w:ind w:left="2268" w:right="0" w:firstLine="0"/>
      <w:spacing w:after="57"/>
    </w:pPr>
  </w:style>
  <w:style w:type="paragraph" w:styleId="841">
    <w:name w:val="table of figures"/>
    <w:basedOn w:val="842"/>
    <w:next w:val="842"/>
    <w:uiPriority w:val="99"/>
    <w:unhideWhenUsed/>
    <w:pPr>
      <w:spacing w:after="0" w:afterAutospacing="0"/>
    </w:pPr>
  </w:style>
  <w:style w:type="paragraph" w:styleId="842" w:default="1">
    <w:name w:val="Normal"/>
    <w:qFormat/>
  </w:style>
  <w:style w:type="paragraph" w:styleId="843">
    <w:name w:val="Heading 1"/>
    <w:basedOn w:val="842"/>
    <w:next w:val="842"/>
    <w:link w:val="854"/>
    <w:uiPriority w:val="9"/>
    <w:qFormat/>
    <w:pPr>
      <w:keepLines/>
      <w:keepNext/>
      <w:spacing w:before="240" w:after="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844">
    <w:name w:val="Heading 2"/>
    <w:basedOn w:val="842"/>
    <w:next w:val="842"/>
    <w:link w:val="856"/>
    <w:uiPriority w:val="9"/>
    <w:unhideWhenUsed/>
    <w:qFormat/>
    <w:pPr>
      <w:keepLines/>
      <w:keepNext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845" w:default="1">
    <w:name w:val="Default Paragraph Font"/>
    <w:uiPriority w:val="1"/>
    <w:semiHidden/>
    <w:unhideWhenUsed/>
  </w:style>
  <w:style w:type="table" w:styleId="846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47" w:default="1">
    <w:name w:val="No List"/>
    <w:uiPriority w:val="99"/>
    <w:semiHidden/>
    <w:unhideWhenUsed/>
  </w:style>
  <w:style w:type="character" w:styleId="848">
    <w:name w:val="Hyperlink"/>
    <w:basedOn w:val="845"/>
    <w:uiPriority w:val="99"/>
    <w:unhideWhenUsed/>
    <w:rPr>
      <w:color w:val="0563c1" w:themeColor="hyperlink"/>
      <w:u w:val="single"/>
    </w:rPr>
  </w:style>
  <w:style w:type="character" w:styleId="849">
    <w:name w:val="Unresolved Mention"/>
    <w:basedOn w:val="845"/>
    <w:uiPriority w:val="99"/>
    <w:semiHidden/>
    <w:unhideWhenUsed/>
    <w:rPr>
      <w:color w:val="605e5c"/>
      <w:shd w:val="clear" w:color="auto" w:fill="e1dfdd"/>
    </w:rPr>
  </w:style>
  <w:style w:type="paragraph" w:styleId="850">
    <w:name w:val="Header"/>
    <w:basedOn w:val="842"/>
    <w:link w:val="851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851" w:customStyle="1">
    <w:name w:val="Верхний колонтитул Знак"/>
    <w:basedOn w:val="845"/>
    <w:link w:val="850"/>
    <w:uiPriority w:val="99"/>
  </w:style>
  <w:style w:type="paragraph" w:styleId="852">
    <w:name w:val="Footer"/>
    <w:basedOn w:val="842"/>
    <w:link w:val="853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853" w:customStyle="1">
    <w:name w:val="Нижний колонтитул Знак"/>
    <w:basedOn w:val="845"/>
    <w:link w:val="852"/>
    <w:uiPriority w:val="99"/>
  </w:style>
  <w:style w:type="character" w:styleId="854" w:customStyle="1">
    <w:name w:val="Заголовок 1 Знак"/>
    <w:basedOn w:val="845"/>
    <w:link w:val="843"/>
    <w:uiPriority w:val="9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855">
    <w:name w:val="List Paragraph"/>
    <w:basedOn w:val="842"/>
    <w:uiPriority w:val="34"/>
    <w:qFormat/>
    <w:pPr>
      <w:contextualSpacing/>
      <w:ind w:left="720"/>
    </w:pPr>
  </w:style>
  <w:style w:type="character" w:styleId="856" w:customStyle="1">
    <w:name w:val="Заголовок 2 Знак"/>
    <w:basedOn w:val="845"/>
    <w:link w:val="844"/>
    <w:uiPriority w:val="9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857">
    <w:name w:val="TOC Heading"/>
    <w:basedOn w:val="843"/>
    <w:next w:val="842"/>
    <w:uiPriority w:val="39"/>
    <w:unhideWhenUsed/>
    <w:qFormat/>
    <w:pPr>
      <w:outlineLvl w:val="9"/>
    </w:pPr>
    <w:rPr>
      <w:lang w:eastAsia="ru-RU"/>
    </w:rPr>
  </w:style>
  <w:style w:type="paragraph" w:styleId="858">
    <w:name w:val="toc 1"/>
    <w:basedOn w:val="842"/>
    <w:next w:val="842"/>
    <w:uiPriority w:val="39"/>
    <w:unhideWhenUsed/>
    <w:pPr>
      <w:spacing w:after="100"/>
    </w:pPr>
  </w:style>
  <w:style w:type="paragraph" w:styleId="859">
    <w:name w:val="toc 2"/>
    <w:basedOn w:val="842"/>
    <w:next w:val="842"/>
    <w:uiPriority w:val="39"/>
    <w:unhideWhenUsed/>
    <w:pPr>
      <w:ind w:left="220"/>
      <w:spacing w:after="100"/>
    </w:pPr>
  </w:style>
  <w:style w:type="table" w:styleId="860">
    <w:name w:val="Table Grid"/>
    <w:basedOn w:val="846"/>
    <w:uiPriority w:val="59"/>
    <w:pPr>
      <w:spacing w:after="0" w:line="240" w:lineRule="auto"/>
    </w:pPr>
    <w:rPr>
      <w:rFonts w:eastAsiaTheme="minorEastAsia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861">
    <w:name w:val="annotation reference"/>
    <w:basedOn w:val="845"/>
    <w:uiPriority w:val="99"/>
    <w:semiHidden/>
    <w:unhideWhenUsed/>
    <w:rPr>
      <w:sz w:val="16"/>
      <w:szCs w:val="16"/>
    </w:rPr>
  </w:style>
  <w:style w:type="paragraph" w:styleId="862">
    <w:name w:val="annotation text"/>
    <w:basedOn w:val="842"/>
    <w:link w:val="863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863" w:customStyle="1">
    <w:name w:val="Текст примечания Знак"/>
    <w:basedOn w:val="845"/>
    <w:link w:val="862"/>
    <w:uiPriority w:val="99"/>
    <w:semiHidden/>
    <w:rPr>
      <w:sz w:val="20"/>
      <w:szCs w:val="20"/>
    </w:rPr>
  </w:style>
  <w:style w:type="paragraph" w:styleId="864">
    <w:name w:val="annotation subject"/>
    <w:basedOn w:val="862"/>
    <w:next w:val="862"/>
    <w:link w:val="865"/>
    <w:uiPriority w:val="99"/>
    <w:semiHidden/>
    <w:unhideWhenUsed/>
    <w:rPr>
      <w:b/>
      <w:bCs/>
    </w:rPr>
  </w:style>
  <w:style w:type="character" w:styleId="865" w:customStyle="1">
    <w:name w:val="Тема примечания Знак"/>
    <w:basedOn w:val="863"/>
    <w:link w:val="864"/>
    <w:uiPriority w:val="99"/>
    <w:semiHidden/>
    <w:rPr>
      <w:b/>
      <w:bCs/>
      <w:sz w:val="20"/>
      <w:szCs w:val="20"/>
    </w:rPr>
  </w:style>
  <w:style w:type="paragraph" w:styleId="866">
    <w:name w:val="Balloon Text"/>
    <w:basedOn w:val="842"/>
    <w:link w:val="867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867" w:customStyle="1">
    <w:name w:val="Текст выноски Знак"/>
    <w:basedOn w:val="845"/>
    <w:link w:val="866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glossaryDocument" Target="glossary/document.xml" /><Relationship Id="rId7" Type="http://schemas.openxmlformats.org/officeDocument/2006/relationships/numbering" Target="numbering.xml" /><Relationship Id="rId8" Type="http://schemas.openxmlformats.org/officeDocument/2006/relationships/footnotes" Target="footnotes.xml" /><Relationship Id="rId9" Type="http://schemas.openxmlformats.org/officeDocument/2006/relationships/endnotes" Target="endnotes.xml" /><Relationship Id="rId10" Type="http://schemas.openxmlformats.org/officeDocument/2006/relationships/customXml" Target="../customXml/item1.xml" /><Relationship Id="rId11" Type="http://schemas.openxmlformats.org/officeDocument/2006/relationships/hyperlink" Target="https://vamprivet.ru/for-partners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Relationship Id="rId29" Type="http://schemas.openxmlformats.org/officeDocument/2006/relationships/image" Target="media/image18.png"/><Relationship Id="rId30" Type="http://schemas.openxmlformats.org/officeDocument/2006/relationships/image" Target="media/image19.png"/><Relationship Id="rId31" Type="http://schemas.openxmlformats.org/officeDocument/2006/relationships/image" Target="media/image20.png"/><Relationship Id="rId32" Type="http://schemas.openxmlformats.org/officeDocument/2006/relationships/image" Target="media/image21.png"/><Relationship Id="rId33" Type="http://schemas.openxmlformats.org/officeDocument/2006/relationships/image" Target="media/image22.png"/><Relationship Id="rId34" Type="http://schemas.openxmlformats.org/officeDocument/2006/relationships/image" Target="media/image23.png"/><Relationship Id="rId35" Type="http://schemas.openxmlformats.org/officeDocument/2006/relationships/image" Target="media/image24.jpg"/><Relationship Id="rId36" Type="http://schemas.openxmlformats.org/officeDocument/2006/relationships/image" Target="media/image25.png"/><Relationship Id="rId37" Type="http://schemas.openxmlformats.org/officeDocument/2006/relationships/image" Target="media/image26.png"/><Relationship Id="rId38" Type="http://schemas.openxmlformats.org/officeDocument/2006/relationships/image" Target="media/image27.png"/><Relationship Id="rId39" Type="http://schemas.openxmlformats.org/officeDocument/2006/relationships/image" Target="media/image28.png"/><Relationship Id="rId40" Type="http://schemas.openxmlformats.org/officeDocument/2006/relationships/image" Target="media/image29.png"/><Relationship Id="rId41" Type="http://schemas.openxmlformats.org/officeDocument/2006/relationships/image" Target="media/image30.png"/><Relationship Id="rId42" Type="http://schemas.openxmlformats.org/officeDocument/2006/relationships/image" Target="media/image31.png"/><Relationship Id="rId43" Type="http://schemas.openxmlformats.org/officeDocument/2006/relationships/image" Target="media/image32.png"/><Relationship Id="rId44" Type="http://schemas.openxmlformats.org/officeDocument/2006/relationships/image" Target="media/image33.png"/><Relationship Id="rId45" Type="http://schemas.openxmlformats.org/officeDocument/2006/relationships/image" Target="media/image34.png"/><Relationship Id="rId46" Type="http://schemas.openxmlformats.org/officeDocument/2006/relationships/image" Target="media/image35.png"/><Relationship Id="rId47" Type="http://schemas.openxmlformats.org/officeDocument/2006/relationships/image" Target="media/image36.png"/><Relationship Id="rId48" Type="http://schemas.openxmlformats.org/officeDocument/2006/relationships/image" Target="media/image37.png"/><Relationship Id="rId49" Type="http://schemas.openxmlformats.org/officeDocument/2006/relationships/image" Target="media/image38.png"/><Relationship Id="rId50" Type="http://schemas.openxmlformats.org/officeDocument/2006/relationships/image" Target="media/image39.png"/><Relationship Id="rId51" Type="http://schemas.openxmlformats.org/officeDocument/2006/relationships/image" Target="media/image40.png"/><Relationship Id="rId52" Type="http://schemas.openxmlformats.org/officeDocument/2006/relationships/image" Target="media/image41.png"/><Relationship Id="rId53" Type="http://schemas.openxmlformats.org/officeDocument/2006/relationships/image" Target="media/image42.png"/><Relationship Id="rId54" Type="http://schemas.openxmlformats.org/officeDocument/2006/relationships/image" Target="media/image43.png"/><Relationship Id="rId55" Type="http://schemas.openxmlformats.org/officeDocument/2006/relationships/image" Target="media/image44.png"/><Relationship Id="rId56" Type="http://schemas.openxmlformats.org/officeDocument/2006/relationships/image" Target="media/image45.png"/><Relationship Id="rId57" Type="http://schemas.openxmlformats.org/officeDocument/2006/relationships/image" Target="media/image46.png"/><Relationship Id="rId58" Type="http://schemas.openxmlformats.org/officeDocument/2006/relationships/image" Target="media/image47.png"/><Relationship Id="rId59" Type="http://schemas.openxmlformats.org/officeDocument/2006/relationships/image" Target="media/image48.png"/><Relationship Id="rId60" Type="http://schemas.openxmlformats.org/officeDocument/2006/relationships/image" Target="media/image49.png"/><Relationship Id="rId61" Type="http://schemas.openxmlformats.org/officeDocument/2006/relationships/image" Target="media/image50.png"/><Relationship Id="rId62" Type="http://schemas.openxmlformats.org/officeDocument/2006/relationships/image" Target="media/image51.png"/><Relationship Id="rId63" Type="http://schemas.openxmlformats.org/officeDocument/2006/relationships/image" Target="media/image52.png"/><Relationship Id="rId64" Type="http://schemas.openxmlformats.org/officeDocument/2006/relationships/image" Target="media/image53.png"/><Relationship Id="rId65" Type="http://schemas.openxmlformats.org/officeDocument/2006/relationships/image" Target="media/image54.png"/><Relationship Id="rId66" Type="http://schemas.openxmlformats.org/officeDocument/2006/relationships/image" Target="media/image55.png"/><Relationship Id="rId67" Type="http://schemas.openxmlformats.org/officeDocument/2006/relationships/image" Target="media/image56.png"/><Relationship Id="rId68" Type="http://schemas.openxmlformats.org/officeDocument/2006/relationships/image" Target="media/image57.png"/><Relationship Id="rId69" Type="http://schemas.openxmlformats.org/officeDocument/2006/relationships/image" Target="media/image58.png"/><Relationship Id="rId70" Type="http://schemas.openxmlformats.org/officeDocument/2006/relationships/image" Target="media/image59.png"/><Relationship Id="rId71" Type="http://schemas.openxmlformats.org/officeDocument/2006/relationships/image" Target="media/image60.png"/><Relationship Id="rId72" Type="http://schemas.openxmlformats.org/officeDocument/2006/relationships/image" Target="media/image61.png"/><Relationship Id="rId73" Type="http://schemas.openxmlformats.org/officeDocument/2006/relationships/image" Target="media/image62.png"/><Relationship Id="rId74" Type="http://schemas.openxmlformats.org/officeDocument/2006/relationships/hyperlink" Target="mailto:loyaltysupport@nspk.ru" TargetMode="External"/><Relationship Id="rId75" Type="http://schemas.openxmlformats.org/officeDocument/2006/relationships/image" Target="media/image63.jpg"/><Relationship Id="rId76" Type="http://schemas.openxmlformats.org/officeDocument/2006/relationships/image" Target="media/image64.png"/><Relationship Id="rId77" Type="http://schemas.openxmlformats.org/officeDocument/2006/relationships/image" Target="media/image65.png"/><Relationship Id="rId78" Type="http://schemas.openxmlformats.org/officeDocument/2006/relationships/image" Target="media/image66.png"/><Relationship Id="rId79" Type="http://schemas.openxmlformats.org/officeDocument/2006/relationships/image" Target="media/image67.png"/><Relationship Id="rId80" Type="http://schemas.openxmlformats.org/officeDocument/2006/relationships/image" Target="media/image68.png"/><Relationship Id="rId81" Type="http://schemas.openxmlformats.org/officeDocument/2006/relationships/image" Target="media/image69.png"/><Relationship Id="rId82" Type="http://schemas.openxmlformats.org/officeDocument/2006/relationships/image" Target="media/image70.png"/><Relationship Id="rId83" Type="http://schemas.openxmlformats.org/officeDocument/2006/relationships/image" Target="media/image71.png"/><Relationship Id="rId84" Type="http://schemas.openxmlformats.org/officeDocument/2006/relationships/image" Target="media/image72.png"/><Relationship Id="rId85" Type="http://schemas.openxmlformats.org/officeDocument/2006/relationships/image" Target="media/image73.png"/><Relationship Id="rId86" Type="http://schemas.openxmlformats.org/officeDocument/2006/relationships/image" Target="media/image74.png"/><Relationship Id="rId87" Type="http://schemas.openxmlformats.org/officeDocument/2006/relationships/image" Target="media/image75.png"/><Relationship Id="rId88" Type="http://schemas.openxmlformats.org/officeDocument/2006/relationships/image" Target="media/image76.jpg"/><Relationship Id="rId89" Type="http://schemas.openxmlformats.org/officeDocument/2006/relationships/image" Target="media/image77.png"/><Relationship Id="rId90" Type="http://schemas.openxmlformats.org/officeDocument/2006/relationships/image" Target="media/image78.png"/><Relationship Id="rId91" Type="http://schemas.openxmlformats.org/officeDocument/2006/relationships/hyperlink" Target="https://vamprivet.ru/promo/" TargetMode="External"/><Relationship Id="rId92" Type="http://schemas.openxmlformats.org/officeDocument/2006/relationships/image" Target="media/image79.png"/><Relationship Id="rId93" Type="http://schemas.openxmlformats.org/officeDocument/2006/relationships/image" Target="media/image80.png"/><Relationship Id="rId94" Type="http://schemas.openxmlformats.org/officeDocument/2006/relationships/image" Target="media/image81.png"/><Relationship Id="rId95" Type="http://schemas.openxmlformats.org/officeDocument/2006/relationships/image" Target="media/image82.png"/><Relationship Id="rId96" Type="http://schemas.openxmlformats.org/officeDocument/2006/relationships/image" Target="media/image83.png"/><Relationship Id="rId97" Type="http://schemas.openxmlformats.org/officeDocument/2006/relationships/image" Target="media/image84.png"/><Relationship Id="rId98" Type="http://schemas.openxmlformats.org/officeDocument/2006/relationships/image" Target="media/image85.png"/><Relationship Id="rId99" Type="http://schemas.openxmlformats.org/officeDocument/2006/relationships/image" Target="media/image86.png"/><Relationship Id="rId100" Type="http://schemas.openxmlformats.org/officeDocument/2006/relationships/image" Target="media/image87.png"/><Relationship Id="rId101" Type="http://schemas.openxmlformats.org/officeDocument/2006/relationships/image" Target="media/image88.png"/><Relationship Id="rId102" Type="http://schemas.openxmlformats.org/officeDocument/2006/relationships/image" Target="media/image89.png"/><Relationship Id="rId103" Type="http://schemas.openxmlformats.org/officeDocument/2006/relationships/image" Target="media/image90.png"/><Relationship Id="rId104" Type="http://schemas.openxmlformats.org/officeDocument/2006/relationships/image" Target="media/image91.png"/><Relationship Id="rId105" Type="http://schemas.openxmlformats.org/officeDocument/2006/relationships/image" Target="media/image92.png"/><Relationship Id="rId106" Type="http://schemas.openxmlformats.org/officeDocument/2006/relationships/image" Target="media/image93.png"/><Relationship Id="rId107" Type="http://schemas.openxmlformats.org/officeDocument/2006/relationships/image" Target="media/image94.png"/><Relationship Id="rId108" Type="http://schemas.openxmlformats.org/officeDocument/2006/relationships/image" Target="media/image95.png"/><Relationship Id="rId109" Type="http://schemas.openxmlformats.org/officeDocument/2006/relationships/image" Target="media/image96.png"/><Relationship Id="rId110" Type="http://schemas.openxmlformats.org/officeDocument/2006/relationships/image" Target="media/image97.png"/><Relationship Id="rId111" Type="http://schemas.openxmlformats.org/officeDocument/2006/relationships/image" Target="media/image98.png"/><Relationship Id="rId112" Type="http://schemas.openxmlformats.org/officeDocument/2006/relationships/image" Target="media/image99.png"/><Relationship Id="rId113" Type="http://schemas.openxmlformats.org/officeDocument/2006/relationships/image" Target="media/image100.png"/><Relationship Id="rId114" Type="http://schemas.openxmlformats.org/officeDocument/2006/relationships/image" Target="media/image101.png"/><Relationship Id="rId115" Type="http://schemas.openxmlformats.org/officeDocument/2006/relationships/image" Target="media/image102.png"/><Relationship Id="rId116" Type="http://schemas.openxmlformats.org/officeDocument/2006/relationships/image" Target="media/image103.png"/><Relationship Id="rId117" Type="http://schemas.openxmlformats.org/officeDocument/2006/relationships/image" Target="media/image104.png"/><Relationship Id="rId118" Type="http://schemas.openxmlformats.org/officeDocument/2006/relationships/image" Target="media/image105.png"/><Relationship Id="rId119" Type="http://schemas.openxmlformats.org/officeDocument/2006/relationships/image" Target="media/image106.png"/><Relationship Id="rId120" Type="http://schemas.openxmlformats.org/officeDocument/2006/relationships/image" Target="media/image107.png"/><Relationship Id="rId121" Type="http://schemas.openxmlformats.org/officeDocument/2006/relationships/image" Target="media/image108.png"/><Relationship Id="rId122" Type="http://schemas.openxmlformats.org/officeDocument/2006/relationships/image" Target="media/image109.png"/><Relationship Id="rId123" Type="http://schemas.openxmlformats.org/officeDocument/2006/relationships/image" Target="media/image110.png"/><Relationship Id="rId124" Type="http://schemas.openxmlformats.org/officeDocument/2006/relationships/image" Target="media/image111.png"/><Relationship Id="rId125" Type="http://schemas.openxmlformats.org/officeDocument/2006/relationships/image" Target="media/image112.png"/><Relationship Id="rId126" Type="http://schemas.openxmlformats.org/officeDocument/2006/relationships/image" Target="media/image113.png"/><Relationship Id="rId127" Type="http://schemas.openxmlformats.org/officeDocument/2006/relationships/image" Target="media/image114.png"/><Relationship Id="rId128" Type="http://schemas.openxmlformats.org/officeDocument/2006/relationships/image" Target="media/image115.png"/><Relationship Id="rId129" Type="http://schemas.openxmlformats.org/officeDocument/2006/relationships/image" Target="media/image116.png"/><Relationship Id="rId130" Type="http://schemas.openxmlformats.org/officeDocument/2006/relationships/comments" Target="comments.xml" /><Relationship Id="rId131" Type="http://schemas.microsoft.com/office/2011/relationships/commentsExtended" Target="commentsExtended.xml" /><Relationship Id="rId132" Type="http://schemas.microsoft.com/office/2018/08/relationships/commentsExtensible" Target="commentsExtensible.xml" /><Relationship Id="rId133" Type="http://schemas.microsoft.com/office/2016/09/relationships/commentsIds" Target="commentsIds.xml" /><Relationship Id="rId134" Type="http://schemas.microsoft.com/office/2011/relationships/people" Target="people.xml" 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glossary/_rels/comments.xml.rels><?xml version="1.0" encoding="UTF-8" standalone="yes"?><Relationships xmlns="http://schemas.openxmlformats.org/package/2006/relationships"></Relationships>
</file>

<file path=word/glossary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footnotes" Target="footnotes.xml" /><Relationship Id="rId6" Type="http://schemas.openxmlformats.org/officeDocument/2006/relationships/endnotes" Target="endnotes.xml" /></Relationships>
</file>

<file path=word/glossary/_rels/endnotes.xml.rels><?xml version="1.0" encoding="UTF-8" standalone="yes"?><Relationships xmlns="http://schemas.openxmlformats.org/package/2006/relationships"></Relationships>
</file>

<file path=word/glossary/_rels/footnotes.xml.rels><?xml version="1.0" encoding="UTF-8" standalone="yes"?><Relationships xmlns="http://schemas.openxmlformats.org/package/2006/relationships"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docParts>
    <w:docPart>
      <w:docPartPr>
        <w:name w:val="DefaultPlaceholder_TEXT"/>
        <w:category>
          <w:name w:val="Common"/>
          <w:gallery w:val="placeholder"/>
        </w:category>
        <w:types>
          <w:type w:val="bbPlcHdr"/>
        </w:types>
        <w:behaviors>
          <w:behavior w:val="content"/>
        </w:behaviors>
      </w:docPartPr>
      <w:docPartBody>
        <w:p>
          <w:r>
            <w:t xml:space="preserve">Введите ваш текст</w:t>
          </w:r>
          <w:r/>
          <w:r/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36" w:default="1">
    <w:name w:val="Normal"/>
    <w:qFormat/>
  </w:style>
  <w:style w:type="character" w:styleId="1337" w:default="1">
    <w:name w:val="Default Paragraph Font"/>
    <w:uiPriority w:val="1"/>
    <w:semiHidden/>
    <w:unhideWhenUsed/>
  </w:style>
  <w:style w:type="numbering" w:styleId="1338" w:default="1">
    <w:name w:val="No List"/>
    <w:uiPriority w:val="99"/>
    <w:semiHidden/>
    <w:unhideWhenUsed/>
  </w:style>
  <w:style w:type="paragraph" w:styleId="1339">
    <w:name w:val="Heading 1"/>
    <w:basedOn w:val="1336"/>
    <w:next w:val="1336"/>
    <w:link w:val="1340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340">
    <w:name w:val="Heading 1 Char"/>
    <w:basedOn w:val="1337"/>
    <w:link w:val="1339"/>
    <w:uiPriority w:val="9"/>
    <w:rPr>
      <w:rFonts w:ascii="Arial" w:hAnsi="Arial" w:eastAsia="Arial" w:cs="Arial"/>
      <w:sz w:val="40"/>
      <w:szCs w:val="40"/>
    </w:rPr>
  </w:style>
  <w:style w:type="paragraph" w:styleId="1341">
    <w:name w:val="Heading 2"/>
    <w:basedOn w:val="1336"/>
    <w:next w:val="1336"/>
    <w:link w:val="1342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342">
    <w:name w:val="Heading 2 Char"/>
    <w:basedOn w:val="1337"/>
    <w:link w:val="1341"/>
    <w:uiPriority w:val="9"/>
    <w:rPr>
      <w:rFonts w:ascii="Arial" w:hAnsi="Arial" w:eastAsia="Arial" w:cs="Arial"/>
      <w:sz w:val="34"/>
    </w:rPr>
  </w:style>
  <w:style w:type="paragraph" w:styleId="1343">
    <w:name w:val="Heading 3"/>
    <w:basedOn w:val="1336"/>
    <w:next w:val="1336"/>
    <w:link w:val="1344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344">
    <w:name w:val="Heading 3 Char"/>
    <w:basedOn w:val="1337"/>
    <w:link w:val="1343"/>
    <w:uiPriority w:val="9"/>
    <w:rPr>
      <w:rFonts w:ascii="Arial" w:hAnsi="Arial" w:eastAsia="Arial" w:cs="Arial"/>
      <w:sz w:val="30"/>
      <w:szCs w:val="30"/>
    </w:rPr>
  </w:style>
  <w:style w:type="paragraph" w:styleId="1345">
    <w:name w:val="Heading 4"/>
    <w:basedOn w:val="1336"/>
    <w:next w:val="1336"/>
    <w:link w:val="1346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1346">
    <w:name w:val="Heading 4 Char"/>
    <w:basedOn w:val="1337"/>
    <w:link w:val="1345"/>
    <w:uiPriority w:val="9"/>
    <w:rPr>
      <w:rFonts w:ascii="Arial" w:hAnsi="Arial" w:eastAsia="Arial" w:cs="Arial"/>
      <w:b/>
      <w:bCs/>
      <w:sz w:val="26"/>
      <w:szCs w:val="26"/>
    </w:rPr>
  </w:style>
  <w:style w:type="paragraph" w:styleId="1347">
    <w:name w:val="Heading 5"/>
    <w:basedOn w:val="1336"/>
    <w:next w:val="1336"/>
    <w:link w:val="1348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1348">
    <w:name w:val="Heading 5 Char"/>
    <w:basedOn w:val="1337"/>
    <w:link w:val="1347"/>
    <w:uiPriority w:val="9"/>
    <w:rPr>
      <w:rFonts w:ascii="Arial" w:hAnsi="Arial" w:eastAsia="Arial" w:cs="Arial"/>
      <w:b/>
      <w:bCs/>
      <w:sz w:val="24"/>
      <w:szCs w:val="24"/>
    </w:rPr>
  </w:style>
  <w:style w:type="paragraph" w:styleId="1349">
    <w:name w:val="Heading 6"/>
    <w:basedOn w:val="1336"/>
    <w:next w:val="1336"/>
    <w:link w:val="1350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1350">
    <w:name w:val="Heading 6 Char"/>
    <w:basedOn w:val="1337"/>
    <w:link w:val="1349"/>
    <w:uiPriority w:val="9"/>
    <w:rPr>
      <w:rFonts w:ascii="Arial" w:hAnsi="Arial" w:eastAsia="Arial" w:cs="Arial"/>
      <w:b/>
      <w:bCs/>
      <w:sz w:val="22"/>
      <w:szCs w:val="22"/>
    </w:rPr>
  </w:style>
  <w:style w:type="paragraph" w:styleId="1351">
    <w:name w:val="Heading 7"/>
    <w:basedOn w:val="1336"/>
    <w:next w:val="1336"/>
    <w:link w:val="1352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1352">
    <w:name w:val="Heading 7 Char"/>
    <w:basedOn w:val="1337"/>
    <w:link w:val="1351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1353">
    <w:name w:val="Heading 8"/>
    <w:basedOn w:val="1336"/>
    <w:next w:val="1336"/>
    <w:link w:val="1354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1354">
    <w:name w:val="Heading 8 Char"/>
    <w:basedOn w:val="1337"/>
    <w:link w:val="1353"/>
    <w:uiPriority w:val="9"/>
    <w:rPr>
      <w:rFonts w:ascii="Arial" w:hAnsi="Arial" w:eastAsia="Arial" w:cs="Arial"/>
      <w:i/>
      <w:iCs/>
      <w:sz w:val="22"/>
      <w:szCs w:val="22"/>
    </w:rPr>
  </w:style>
  <w:style w:type="paragraph" w:styleId="1355">
    <w:name w:val="Heading 9"/>
    <w:basedOn w:val="1336"/>
    <w:next w:val="1336"/>
    <w:link w:val="1356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1356">
    <w:name w:val="Heading 9 Char"/>
    <w:basedOn w:val="1337"/>
    <w:link w:val="1355"/>
    <w:uiPriority w:val="9"/>
    <w:rPr>
      <w:rFonts w:ascii="Arial" w:hAnsi="Arial" w:eastAsia="Arial" w:cs="Arial"/>
      <w:i/>
      <w:iCs/>
      <w:sz w:val="21"/>
      <w:szCs w:val="21"/>
    </w:rPr>
  </w:style>
  <w:style w:type="paragraph" w:styleId="1357">
    <w:name w:val="List Paragraph"/>
    <w:basedOn w:val="1336"/>
    <w:uiPriority w:val="34"/>
    <w:qFormat/>
    <w:pPr>
      <w:contextualSpacing/>
      <w:ind w:left="720"/>
    </w:pPr>
  </w:style>
  <w:style w:type="table" w:styleId="1358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paragraph" w:styleId="1359">
    <w:name w:val="No Spacing"/>
    <w:uiPriority w:val="1"/>
    <w:qFormat/>
    <w:pPr>
      <w:spacing w:before="0" w:after="0" w:line="240" w:lineRule="auto"/>
    </w:pPr>
  </w:style>
  <w:style w:type="paragraph" w:styleId="1360">
    <w:name w:val="Title"/>
    <w:basedOn w:val="1336"/>
    <w:next w:val="1336"/>
    <w:link w:val="1361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1361">
    <w:name w:val="Title Char"/>
    <w:basedOn w:val="1337"/>
    <w:link w:val="1360"/>
    <w:uiPriority w:val="10"/>
    <w:rPr>
      <w:sz w:val="48"/>
      <w:szCs w:val="48"/>
    </w:rPr>
  </w:style>
  <w:style w:type="paragraph" w:styleId="1362">
    <w:name w:val="Subtitle"/>
    <w:basedOn w:val="1336"/>
    <w:next w:val="1336"/>
    <w:link w:val="1363"/>
    <w:uiPriority w:val="11"/>
    <w:qFormat/>
    <w:pPr>
      <w:spacing w:before="200" w:after="200"/>
    </w:pPr>
    <w:rPr>
      <w:sz w:val="24"/>
      <w:szCs w:val="24"/>
    </w:rPr>
  </w:style>
  <w:style w:type="character" w:styleId="1363">
    <w:name w:val="Subtitle Char"/>
    <w:basedOn w:val="1337"/>
    <w:link w:val="1362"/>
    <w:uiPriority w:val="11"/>
    <w:rPr>
      <w:sz w:val="24"/>
      <w:szCs w:val="24"/>
    </w:rPr>
  </w:style>
  <w:style w:type="paragraph" w:styleId="1364">
    <w:name w:val="Quote"/>
    <w:basedOn w:val="1336"/>
    <w:next w:val="1336"/>
    <w:link w:val="1365"/>
    <w:uiPriority w:val="29"/>
    <w:qFormat/>
    <w:pPr>
      <w:ind w:left="720" w:right="720"/>
    </w:pPr>
    <w:rPr>
      <w:i/>
    </w:rPr>
  </w:style>
  <w:style w:type="character" w:styleId="1365">
    <w:name w:val="Quote Char"/>
    <w:link w:val="1364"/>
    <w:uiPriority w:val="29"/>
    <w:rPr>
      <w:i/>
    </w:rPr>
  </w:style>
  <w:style w:type="paragraph" w:styleId="1366">
    <w:name w:val="Intense Quote"/>
    <w:basedOn w:val="1336"/>
    <w:next w:val="1336"/>
    <w:link w:val="1367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1367">
    <w:name w:val="Intense Quote Char"/>
    <w:link w:val="1366"/>
    <w:uiPriority w:val="30"/>
    <w:rPr>
      <w:i/>
    </w:rPr>
  </w:style>
  <w:style w:type="paragraph" w:styleId="1368">
    <w:name w:val="Header"/>
    <w:basedOn w:val="1336"/>
    <w:link w:val="1369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1369">
    <w:name w:val="Header Char"/>
    <w:basedOn w:val="1337"/>
    <w:link w:val="1368"/>
    <w:uiPriority w:val="99"/>
  </w:style>
  <w:style w:type="paragraph" w:styleId="1370">
    <w:name w:val="Footer"/>
    <w:basedOn w:val="1336"/>
    <w:link w:val="137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1371">
    <w:name w:val="Footer Char"/>
    <w:basedOn w:val="1337"/>
    <w:link w:val="1370"/>
    <w:uiPriority w:val="99"/>
  </w:style>
  <w:style w:type="paragraph" w:styleId="1372">
    <w:name w:val="Caption"/>
    <w:basedOn w:val="1336"/>
    <w:next w:val="1336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1373">
    <w:name w:val="Caption Char"/>
    <w:basedOn w:val="1372"/>
    <w:link w:val="1370"/>
    <w:uiPriority w:val="99"/>
  </w:style>
  <w:style w:type="table" w:styleId="1374">
    <w:name w:val="Table Grid"/>
    <w:basedOn w:val="1358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75">
    <w:name w:val="Table Grid Light"/>
    <w:basedOn w:val="135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76">
    <w:name w:val="Plain Table 1"/>
    <w:basedOn w:val="135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377">
    <w:name w:val="Plain Table 2"/>
    <w:basedOn w:val="1358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378">
    <w:name w:val="Plain Table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1379">
    <w:name w:val="Plain Table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0">
    <w:name w:val="Plain Table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1381">
    <w:name w:val="Grid Table 1 Light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2">
    <w:name w:val="Grid Table 1 Light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3">
    <w:name w:val="Grid Table 1 Light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4">
    <w:name w:val="Grid Table 1 Light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5">
    <w:name w:val="Grid Table 1 Light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6">
    <w:name w:val="Grid Table 1 Light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7">
    <w:name w:val="Grid Table 1 Light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88">
    <w:name w:val="Grid Table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89">
    <w:name w:val="Grid Table 2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0">
    <w:name w:val="Grid Table 2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1">
    <w:name w:val="Grid Table 2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2">
    <w:name w:val="Grid Table 2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3">
    <w:name w:val="Grid Table 2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4">
    <w:name w:val="Grid Table 2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5">
    <w:name w:val="Grid Table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6">
    <w:name w:val="Grid Table 3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7">
    <w:name w:val="Grid Table 3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8">
    <w:name w:val="Grid Table 3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99">
    <w:name w:val="Grid Table 3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0">
    <w:name w:val="Grid Table 3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1">
    <w:name w:val="Grid Table 3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2">
    <w:name w:val="Grid Table 4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1403">
    <w:name w:val="Grid Table 4 - Accent 1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37fc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1404">
    <w:name w:val="Grid Table 4 - Accent 2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1405">
    <w:name w:val="Grid Table 4 - Accent 3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1406">
    <w:name w:val="Grid Table 4 - Accent 4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1407">
    <w:name w:val="Grid Table 4 - Accent 5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1408">
    <w:name w:val="Grid Table 4 - Accent 6"/>
    <w:basedOn w:val="135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1409">
    <w:name w:val="Grid Table 5 Dark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1410">
    <w:name w:val="Grid Table 5 Dark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9e2f2" w:themeFill="accent1" w:themeFillTint="34"/>
    </w:tblPr>
    <w:tblStylePr w:type="band1Horz">
      <w:tcPr>
        <w:shd w:val="clear" w:color="ffffff" w:themeColor="accent1" w:themeTint="75" w:fill="aabfe3" w:themeFill="accent1" w:themeFillTint="75"/>
      </w:tcPr>
    </w:tblStylePr>
    <w:tblStylePr w:type="band1Vert">
      <w:tcPr>
        <w:shd w:val="clear" w:color="ffffff" w:themeColor="accent1" w:themeTint="75" w:fill="aabfe3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  <w:tcBorders>
          <w:top w:val="single" w:color="000000" w:themeColor="light1" w:sz="4" w:space="0"/>
        </w:tcBorders>
      </w:tcPr>
    </w:tblStylePr>
  </w:style>
  <w:style w:type="table" w:styleId="1411">
    <w:name w:val="Grid Table 5 Dark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1412">
    <w:name w:val="Grid Table 5 Dark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1413">
    <w:name w:val="Grid Table 5 Dark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1414">
    <w:name w:val="Grid Table 5 Dark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debf6" w:themeFill="accent5" w:themeFillTint="34"/>
    </w:tblPr>
    <w:tblStylePr w:type="band1Horz">
      <w:tcPr>
        <w:shd w:val="clear" w:color="ffffff" w:themeColor="accent5" w:themeTint="75" w:fill="b4d2eb" w:themeFill="accent5" w:themeFillTint="75"/>
      </w:tcPr>
    </w:tblStylePr>
    <w:tblStylePr w:type="band1Vert">
      <w:tcPr>
        <w:shd w:val="clear" w:color="ffffff" w:themeColor="accent5" w:themeTint="75" w:fill="b4d2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light1" w:sz="4" w:space="0"/>
        </w:tcBorders>
      </w:tcPr>
    </w:tblStylePr>
  </w:style>
  <w:style w:type="table" w:styleId="1415">
    <w:name w:val="Grid Table 5 Dark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1416">
    <w:name w:val="Grid Table 6 Colorful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1417">
    <w:name w:val="Grid Table 6 Colorful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664a9" w:themeColor="accent1" w:themeTint="80" w:themeShade="95"/>
      </w:rPr>
    </w:tblStylePr>
    <w:tblStylePr w:type="firstRow">
      <w:rPr>
        <w:b/>
        <w:color w:val="3664a9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664a9" w:themeColor="accent1" w:themeTint="80" w:themeShade="95"/>
      </w:rPr>
    </w:tblStylePr>
    <w:tblStylePr w:type="lastRow">
      <w:rPr>
        <w:b/>
        <w:color w:val="3664a9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1418">
    <w:name w:val="Grid Table 6 Colorful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1419">
    <w:name w:val="Grid Table 6 Colorful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1420">
    <w:name w:val="Grid Table 6 Colorful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1421">
    <w:name w:val="Grid Table 6 Colorful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422">
    <w:name w:val="Grid Table 6 Colorful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423">
    <w:name w:val="Grid Table 7 Colorful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4">
    <w:name w:val="Grid Table 7 Colorful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664a9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3664a9" w:themeColor="accent1" w:themeTint="80" w:themeShade="95"/>
        <w:sz w:val="22"/>
      </w:rPr>
    </w:tblStylePr>
    <w:tblStylePr w:type="firstCol">
      <w:rPr>
        <w:rFonts w:ascii="Arial" w:hAnsi="Arial"/>
        <w:i/>
        <w:color w:val="3664a9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664a9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5">
    <w:name w:val="Grid Table 7 Colorful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6">
    <w:name w:val="Grid Table 7 Colorful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7">
    <w:name w:val="Grid Table 7 Colorful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8">
    <w:name w:val="Grid Table 7 Colorful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45d8d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245d8d" w:themeColor="accent5" w:themeShade="95"/>
        <w:sz w:val="22"/>
      </w:rPr>
    </w:tblStylePr>
    <w:tblStylePr w:type="firstCol">
      <w:rPr>
        <w:rFonts w:ascii="Arial" w:hAnsi="Arial"/>
        <w:i/>
        <w:color w:val="245d8d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29">
    <w:name w:val="Grid Table 7 Colorful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0">
    <w:name w:val="List Table 1 Light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1">
    <w:name w:val="List Table 1 Light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2">
    <w:name w:val="List Table 1 Light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3">
    <w:name w:val="List Table 1 Light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4">
    <w:name w:val="List Table 1 Light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5">
    <w:name w:val="List Table 1 Light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6">
    <w:name w:val="List Table 1 Light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37">
    <w:name w:val="List Table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438">
    <w:name w:val="List Table 2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439">
    <w:name w:val="List Table 2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440">
    <w:name w:val="List Table 2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441">
    <w:name w:val="List Table 2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442">
    <w:name w:val="List Table 2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443">
    <w:name w:val="List Table 2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444">
    <w:name w:val="List Table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45">
    <w:name w:val="List Table 3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46">
    <w:name w:val="List Table 3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47">
    <w:name w:val="List Table 3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48">
    <w:name w:val="List Table 3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49">
    <w:name w:val="List Table 3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cc4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0">
    <w:name w:val="List Table 3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1">
    <w:name w:val="List Table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2">
    <w:name w:val="List Table 4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3">
    <w:name w:val="List Table 4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4">
    <w:name w:val="List Table 4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5">
    <w:name w:val="List Table 4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6">
    <w:name w:val="List Table 4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7">
    <w:name w:val="List Table 4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458">
    <w:name w:val="List Table 5 Dark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59">
    <w:name w:val="List Table 5 Dark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472c4" w:themeFill="accent1"/>
    </w:tblPr>
    <w:tblStylePr w:type="band1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472c4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472c4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0">
    <w:name w:val="List Table 5 Dark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1">
    <w:name w:val="List Table 5 Dark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2">
    <w:name w:val="List Table 5 Dark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3">
    <w:name w:val="List Table 5 Dark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cc4e5" w:themeFill="accent5" w:themeFillTint="9A"/>
    </w:tblPr>
    <w:tblStylePr w:type="band1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cc4e5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cc4e5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4">
    <w:name w:val="List Table 5 Dark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465">
    <w:name w:val="List Table 6 Colorful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66">
    <w:name w:val="List Table 6 Colorful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54374" w:themeColor="accent1" w:themeShade="95"/>
      </w:rPr>
    </w:tblStylePr>
    <w:tblStylePr w:type="firstRow">
      <w:rPr>
        <w:b/>
        <w:color w:val="254374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54374" w:themeColor="accent1" w:themeShade="95"/>
      </w:rPr>
    </w:tblStylePr>
    <w:tblStylePr w:type="lastRow">
      <w:rPr>
        <w:b/>
        <w:color w:val="254374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67">
    <w:name w:val="List Table 6 Colorful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68">
    <w:name w:val="List Table 6 Colorful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69">
    <w:name w:val="List Table 6 Colorful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70">
    <w:name w:val="List Table 6 Colorful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2e78b1" w:themeColor="accent5" w:themeTint="9A" w:themeShade="95"/>
      </w:rPr>
    </w:tblStylePr>
    <w:tblStylePr w:type="firstRow">
      <w:rPr>
        <w:b/>
        <w:color w:val="2e78b1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2e78b1" w:themeColor="accent5" w:themeTint="9A" w:themeShade="95"/>
      </w:rPr>
    </w:tblStylePr>
    <w:tblStylePr w:type="lastRow">
      <w:rPr>
        <w:b/>
        <w:color w:val="2e78b1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71">
    <w:name w:val="List Table 6 Colorful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72">
    <w:name w:val="List Table 7 Colorful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3">
    <w:name w:val="List Table 7 Colorful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54374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254374" w:themeColor="accent1" w:themeShade="95"/>
        <w:sz w:val="22"/>
      </w:rPr>
    </w:tblStylePr>
    <w:tblStylePr w:type="firstCol">
      <w:rPr>
        <w:rFonts w:ascii="Arial" w:hAnsi="Arial"/>
        <w:i/>
        <w:color w:val="254374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54374" w:themeColor="accent1" w:themeShade="95"/>
        <w:sz w:val="22"/>
      </w:rPr>
    </w:tblStylePr>
  </w:style>
  <w:style w:type="table" w:styleId="1474">
    <w:name w:val="List Table 7 Colorful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75">
    <w:name w:val="List Table 7 Colorful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476">
    <w:name w:val="List Table 7 Colorful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477">
    <w:name w:val="List Table 7 Colorful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2e78b1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2e78b1" w:themeColor="accent5" w:themeTint="9A" w:themeShade="95"/>
        <w:sz w:val="22"/>
      </w:rPr>
    </w:tblStylePr>
    <w:tblStylePr w:type="firstCol">
      <w:rPr>
        <w:rFonts w:ascii="Arial" w:hAnsi="Arial"/>
        <w:i/>
        <w:color w:val="2e78b1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e78b1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e78b1" w:themeColor="accent5" w:themeTint="9A" w:themeShade="95"/>
        <w:sz w:val="22"/>
      </w:rPr>
    </w:tblStylePr>
  </w:style>
  <w:style w:type="table" w:styleId="1478">
    <w:name w:val="List Table 7 Colorful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479">
    <w:name w:val="Lined - Accent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480">
    <w:name w:val="Lined - Accent 1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1481">
    <w:name w:val="Lined - Accent 2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482">
    <w:name w:val="Lined - Accent 3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483">
    <w:name w:val="Lined - Accent 4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484">
    <w:name w:val="Lined - Accent 5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1485">
    <w:name w:val="Lined - Accent 6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486">
    <w:name w:val="Bordered &amp; Lined - Accent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487">
    <w:name w:val="Bordered &amp; Lined - Accent 1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1488">
    <w:name w:val="Bordered &amp; Lined - Accent 2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489">
    <w:name w:val="Bordered &amp; Lined - Accent 3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490">
    <w:name w:val="Bordered &amp; Lined - Accent 4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491">
    <w:name w:val="Bordered &amp; Lined - Accent 5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1492">
    <w:name w:val="Bordered &amp; Lined - Accent 6"/>
    <w:basedOn w:val="135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493">
    <w:name w:val="Bordered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494">
    <w:name w:val="Bordered - Accent 1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495">
    <w:name w:val="Bordered - Accent 2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496">
    <w:name w:val="Bordered - Accent 3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497">
    <w:name w:val="Bordered - Accent 4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498">
    <w:name w:val="Bordered - Accent 5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499">
    <w:name w:val="Bordered - Accent 6"/>
    <w:basedOn w:val="135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500">
    <w:name w:val="Hyperlink"/>
    <w:uiPriority w:val="99"/>
    <w:unhideWhenUsed/>
    <w:rPr>
      <w:color w:val="0000ff" w:themeColor="hyperlink"/>
      <w:u w:val="single"/>
    </w:rPr>
  </w:style>
  <w:style w:type="paragraph" w:styleId="1501">
    <w:name w:val="footnote text"/>
    <w:basedOn w:val="1336"/>
    <w:link w:val="1502"/>
    <w:uiPriority w:val="99"/>
    <w:semiHidden/>
    <w:unhideWhenUsed/>
    <w:pPr>
      <w:spacing w:after="40" w:line="240" w:lineRule="auto"/>
    </w:pPr>
    <w:rPr>
      <w:sz w:val="18"/>
    </w:rPr>
  </w:style>
  <w:style w:type="character" w:styleId="1502">
    <w:name w:val="Footnote Text Char"/>
    <w:link w:val="1501"/>
    <w:uiPriority w:val="99"/>
    <w:rPr>
      <w:sz w:val="18"/>
    </w:rPr>
  </w:style>
  <w:style w:type="character" w:styleId="1503">
    <w:name w:val="footnote reference"/>
    <w:basedOn w:val="1337"/>
    <w:uiPriority w:val="99"/>
    <w:unhideWhenUsed/>
    <w:rPr>
      <w:vertAlign w:val="superscript"/>
    </w:rPr>
  </w:style>
  <w:style w:type="paragraph" w:styleId="1504">
    <w:name w:val="endnote text"/>
    <w:basedOn w:val="1336"/>
    <w:link w:val="1505"/>
    <w:uiPriority w:val="99"/>
    <w:semiHidden/>
    <w:unhideWhenUsed/>
    <w:pPr>
      <w:spacing w:after="0" w:line="240" w:lineRule="auto"/>
    </w:pPr>
    <w:rPr>
      <w:sz w:val="20"/>
    </w:rPr>
  </w:style>
  <w:style w:type="character" w:styleId="1505">
    <w:name w:val="Endnote Text Char"/>
    <w:link w:val="1504"/>
    <w:uiPriority w:val="99"/>
    <w:rPr>
      <w:sz w:val="20"/>
    </w:rPr>
  </w:style>
  <w:style w:type="character" w:styleId="1506">
    <w:name w:val="endnote reference"/>
    <w:basedOn w:val="1337"/>
    <w:uiPriority w:val="99"/>
    <w:semiHidden/>
    <w:unhideWhenUsed/>
    <w:rPr>
      <w:vertAlign w:val="superscript"/>
    </w:rPr>
  </w:style>
  <w:style w:type="paragraph" w:styleId="1507">
    <w:name w:val="toc 1"/>
    <w:basedOn w:val="1336"/>
    <w:next w:val="1336"/>
    <w:uiPriority w:val="39"/>
    <w:unhideWhenUsed/>
    <w:pPr>
      <w:ind w:left="0" w:right="0" w:firstLine="0"/>
      <w:spacing w:after="57"/>
    </w:pPr>
  </w:style>
  <w:style w:type="paragraph" w:styleId="1508">
    <w:name w:val="toc 2"/>
    <w:basedOn w:val="1336"/>
    <w:next w:val="1336"/>
    <w:uiPriority w:val="39"/>
    <w:unhideWhenUsed/>
    <w:pPr>
      <w:ind w:left="283" w:right="0" w:firstLine="0"/>
      <w:spacing w:after="57"/>
    </w:pPr>
  </w:style>
  <w:style w:type="paragraph" w:styleId="1509">
    <w:name w:val="toc 3"/>
    <w:basedOn w:val="1336"/>
    <w:next w:val="1336"/>
    <w:uiPriority w:val="39"/>
    <w:unhideWhenUsed/>
    <w:pPr>
      <w:ind w:left="567" w:right="0" w:firstLine="0"/>
      <w:spacing w:after="57"/>
    </w:pPr>
  </w:style>
  <w:style w:type="paragraph" w:styleId="1510">
    <w:name w:val="toc 4"/>
    <w:basedOn w:val="1336"/>
    <w:next w:val="1336"/>
    <w:uiPriority w:val="39"/>
    <w:unhideWhenUsed/>
    <w:pPr>
      <w:ind w:left="850" w:right="0" w:firstLine="0"/>
      <w:spacing w:after="57"/>
    </w:pPr>
  </w:style>
  <w:style w:type="paragraph" w:styleId="1511">
    <w:name w:val="toc 5"/>
    <w:basedOn w:val="1336"/>
    <w:next w:val="1336"/>
    <w:uiPriority w:val="39"/>
    <w:unhideWhenUsed/>
    <w:pPr>
      <w:ind w:left="1134" w:right="0" w:firstLine="0"/>
      <w:spacing w:after="57"/>
    </w:pPr>
  </w:style>
  <w:style w:type="paragraph" w:styleId="1512">
    <w:name w:val="toc 6"/>
    <w:basedOn w:val="1336"/>
    <w:next w:val="1336"/>
    <w:uiPriority w:val="39"/>
    <w:unhideWhenUsed/>
    <w:pPr>
      <w:ind w:left="1417" w:right="0" w:firstLine="0"/>
      <w:spacing w:after="57"/>
    </w:pPr>
  </w:style>
  <w:style w:type="paragraph" w:styleId="1513">
    <w:name w:val="toc 7"/>
    <w:basedOn w:val="1336"/>
    <w:next w:val="1336"/>
    <w:uiPriority w:val="39"/>
    <w:unhideWhenUsed/>
    <w:pPr>
      <w:ind w:left="1701" w:right="0" w:firstLine="0"/>
      <w:spacing w:after="57"/>
    </w:pPr>
  </w:style>
  <w:style w:type="paragraph" w:styleId="1514">
    <w:name w:val="toc 8"/>
    <w:basedOn w:val="1336"/>
    <w:next w:val="1336"/>
    <w:uiPriority w:val="39"/>
    <w:unhideWhenUsed/>
    <w:pPr>
      <w:ind w:left="1984" w:right="0" w:firstLine="0"/>
      <w:spacing w:after="57"/>
    </w:pPr>
  </w:style>
  <w:style w:type="paragraph" w:styleId="1515">
    <w:name w:val="toc 9"/>
    <w:basedOn w:val="1336"/>
    <w:next w:val="1336"/>
    <w:uiPriority w:val="39"/>
    <w:unhideWhenUsed/>
    <w:pPr>
      <w:ind w:left="2268" w:right="0" w:firstLine="0"/>
      <w:spacing w:after="57"/>
    </w:pPr>
  </w:style>
  <w:style w:type="paragraph" w:styleId="1516">
    <w:name w:val="TOC Heading"/>
    <w:uiPriority w:val="39"/>
    <w:unhideWhenUsed/>
  </w:style>
  <w:style w:type="paragraph" w:styleId="1517">
    <w:name w:val="table of figures"/>
    <w:basedOn w:val="1336"/>
    <w:next w:val="1336"/>
    <w:uiPriority w:val="99"/>
    <w:unhideWhenUsed/>
    <w:pPr>
      <w:spacing w:after="0" w:afterAutospacing="0"/>
    </w:pPr>
  </w:style>
</w:styles>
</file>

<file path=word/glossary/webSettings.xml><?xml version="1.0" encoding="utf-8"?>
<w:webSettings xmlns:w="http://schemas.openxmlformats.org/wordprocessingml/2006/main">
  <w:optimizeForBrowser/>
</w:webSetting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470CEB-455F-4500-B767-B9D24BAB5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Р7-Офис/2024.3.2.551</Application>
  <Company>JSC NSPK</Company>
  <DocSecurity>4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Минаева Ирина Олеговна</dc:creator>
  <cp:keywords/>
  <dc:description/>
  <cp:revision>16</cp:revision>
  <dcterms:created xsi:type="dcterms:W3CDTF">2024-10-04T13:40:00Z</dcterms:created>
  <dcterms:modified xsi:type="dcterms:W3CDTF">2025-04-14T11:19:10Z</dcterms:modified>
</cp:coreProperties>
</file>